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28"/>
        <w:gridCol w:w="2270"/>
        <w:gridCol w:w="2025"/>
      </w:tblGrid>
      <w:tr>
        <w:trPr>
          <w:trHeight w:val="619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Exposure (per +0.5 SD)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unidirectional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time-stratified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 (0.68, 2.01)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2.84 (1.57, 5.13)</w:t>
            </w:r>
          </w:p>
        </w:tc>
      </w:tr>
      <w:tr>
        <w:trPr>
          <w:trHeight w:val="61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 (0.13, 0.71)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 (0.41, 1.67)</w:t>
            </w:r>
          </w:p>
        </w:tc>
      </w:tr>
      <w:tr>
        <w:trPr>
          <w:trHeight w:val="61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3.66 (1.70, 7.90)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1.47 (0.90, 2.39)</w:t>
            </w:r>
          </w:p>
        </w:tc>
      </w:tr>
      <w:tr>
        <w:trPr>
          <w:trHeight w:val="61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Snow Cover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 (0.00, 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 (0.32, 1.21)</w:t>
            </w:r>
          </w:p>
        </w:tc>
      </w:tr>
      <w:tr>
        <w:trPr>
          <w:trHeight w:val="616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10.68 (2.40, 47.53)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 (0.31, 3.03)</w:t>
            </w:r>
          </w:p>
        </w:tc>
      </w:tr>
      <w:tr>
        <w:trPr>
          <w:trHeight w:val="616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 (0.11, 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 (0.25, 1.95)</w:t>
            </w:r>
          </w:p>
        </w:tc>
      </w:tr>
      <w:tr>
        <w:trPr>
          <w:trHeight w:val="619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Wind Speed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2.99 (1.43, 6.27)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 (0.57, 1.44)</w:t>
            </w:r>
          </w:p>
        </w:tc>
      </w:tr>
    </w:tbl>
    <w:p>
      <w:pPr>
        <w:pStyle w:val="Normal"/>
      </w:pPr>
      <w:r>
        <w:t xml:space="preserve">Cumulative odds ratios (per +0.5 SD, lag 0–4 weeks) from the joint weekly climate + bird DLNM, pooled across 4 flyway states (IA, MI, MN, WI; IND+INR events). unidirectional = 1:4 matching; time-stratified = case calendar-month controls. N strata = 152.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2026-06-04T12:35:19Z</dcterms:modified>
  <cp:category/>
</cp:coreProperties>
</file>