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414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per +0.5 SD (95% CrI)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 (0.87, 12.35)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 (0.41, 16.00)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(0.17, 2.22)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(0.03, 1.78)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(0.13, 3.39)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(0.07, 0.64)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 (0.80, 4.03)</w:t>
            </w:r>
          </w:p>
        </w:tc>
      </w:tr>
    </w:tbl>
    <w:p>
      <w:pPr>
        <w:pStyle w:val="Normal"/>
      </w:pPr>
      <w:r>
        <w:t xml:space="preserve">Table: Cumulative odds ratios (per +0.5 SD) from the Bayesian case-crossover DLNM fit in INLA (conditional Poisson), Minnesota HPAI outbreaks 2022. Anseriformes uses a weekly RW2 lag smooth.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2026-08-11T11:46:58Z</dcterms:modified>
  <cp:category/>
</cp:coreProperties>
</file>