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414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per +0.5 SD (95% CrI)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 (0.66, 4.81)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(0.19, 2.24)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(0.31, 1.94)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(0.33, 3.97)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(0.15, 1.72)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(0.32, 1.14)</w:t>
            </w:r>
          </w:p>
        </w:tc>
      </w:tr>
      <w:tr>
        <w:trPr>
          <w:trHeight w:val="61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 (1.14, 5.33)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(0.67, 1.99)</w:t>
            </w:r>
          </w:p>
        </w:tc>
      </w:tr>
    </w:tbl>
    <w:p>
      <w:pPr>
        <w:pStyle w:val="Normal"/>
      </w:pPr>
      <w:r>
        <w:t xml:space="preserve">Minnesota, bidirectional sensitivity.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2026-08-11T13:43:26Z</dcterms:modified>
  <cp:category/>
</cp:coreProperties>
</file>