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4146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OR per +0.5 SD (95% CrI)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5.68 (1.38, 23.46)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 (0.90, 12.67)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(0.14, 1.42)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(0.35, 4.38)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 (0.45, 10.29)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(0.03, 0.38)</w:t>
            </w:r>
          </w:p>
        </w:tc>
      </w:tr>
      <w:tr>
        <w:trPr>
          <w:trHeight w:val="616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(0.35, 1.60)</w:t>
            </w:r>
          </w:p>
        </w:tc>
      </w:tr>
      <w:tr>
        <w:trPr>
          <w:trHeight w:val="616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(0.54, 2.42)</w:t>
            </w:r>
          </w:p>
        </w:tc>
      </w:tr>
    </w:tbl>
    <w:p>
      <w:pPr>
        <w:pStyle w:val="Normal"/>
      </w:pPr>
      <w:r>
        <w:t xml:space="preserve">Minnesota HPAI 2022, unidirectional primary (INLA case-crossover DLNM).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2026-08-11T13:43:26Z</dcterms:modified>
  <cp:category/>
</cp:coreProperties>
</file>