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4146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OR per +0.5 SD (95% CrI)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 (0.73, 3.12)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 (0.44, 1.77)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 (0.38, 1.30)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(0.28, 2.57)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(0.39, 1.59)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 (0.47, 1.03)</w:t>
            </w:r>
          </w:p>
        </w:tc>
      </w:tr>
      <w:tr>
        <w:trPr>
          <w:trHeight w:val="616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 (1.19, 2.75)</w:t>
            </w:r>
          </w:p>
        </w:tc>
      </w:tr>
      <w:tr>
        <w:trPr>
          <w:trHeight w:val="616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Predators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 (0.55, 1.15)</w:t>
            </w:r>
          </w:p>
        </w:tc>
      </w:tr>
    </w:tbl>
    <w:p>
      <w:pPr>
        <w:pStyle w:val="Normal"/>
      </w:pPr>
      <w:r>
        <w:t xml:space="preserve">Multi-state, bidirectional sensitivity.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2026-08-11T13:43:26Z</dcterms:modified>
  <cp:category/>
</cp:coreProperties>
</file>