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per +0.5 SD (95% CrI), by weeks before case</w:t>
            </w:r>
          </w:p>
        </w:tc>
      </w:tr>
      <w:tr>
        <w:trPr>
          <w:trHeight w:val="573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wk4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(0.54, 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(0.68, 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(0.81, 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(0.86, 1.27)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(0.85, 1.58)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(0.56, 0.94)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(0.72, 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(0.88,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(1.01, 1.49)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 (1.10, 1.93)</w:t>
            </w:r>
          </w:p>
        </w:tc>
      </w:tr>
    </w:tbl>
    <w:p>
      <w:pPr>
        <w:pStyle w:val="Normal"/>
      </w:pPr>
      <w:r>
        <w:t xml:space="preserve">Minnesota HPAI 2022: per-week (0–4 weeks before the case) odds ratios for waterfowl (Anseriformes) and predator abundance, INLA case-crossover DLNM.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2026-08-11T13:43:30Z</dcterms:modified>
  <cp:category/>
</cp:coreProperties>
</file>