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07"/>
        <w:gridCol w:w="2025"/>
        <w:gridCol w:w="2025"/>
        <w:gridCol w:w="2025"/>
        <w:gridCol w:w="2025"/>
        <w:gridCol w:w="2025"/>
      </w:tblGrid>
      <w:tr>
        <w:trPr>
          <w:trHeight w:val="620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gridSpan w:val="5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 per +0.5 SD (95% CrI), by weeks before case</w:t>
            </w:r>
          </w:p>
        </w:tc>
      </w:tr>
      <w:tr>
        <w:trPr>
          <w:trHeight w:val="573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wk0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wk1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wk2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wk3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wk4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 (0.57, 0.88)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 (0.79, 1.02)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 (0.96, 1.25)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 (1.12, 1.56)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1.60 (1.24, 2.06)</w:t>
            </w:r>
          </w:p>
        </w:tc>
      </w:tr>
      <w:tr>
        <w:trPr>
          <w:trHeight w:val="616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Predators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 (0.76, 1.13)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 (0.79, 1.03)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 (0.78, 0.99)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 (0.73, 1.00)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 (0.67, 1.05)</w:t>
            </w:r>
          </w:p>
        </w:tc>
      </w:tr>
    </w:tbl>
    <w:p>
      <w:pPr>
        <w:pStyle w:val="Normal"/>
      </w:pPr>
      <w:r>
        <w:t xml:space="preserve">Multi-state (Mississippi flyway): per-week odds ratios for waterfowl and predator abundance.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2026-08-11T13:43:30Z</dcterms:modified>
  <cp:category/>
</cp:coreProperties>
</file>