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07"/>
        <w:gridCol w:w="2025"/>
        <w:gridCol w:w="2025"/>
        <w:gridCol w:w="2025"/>
      </w:tblGrid>
      <w:tr>
        <w:trPr>
          <w:trHeight w:val="620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 per +0.5 SD (95% CrI), by weeks before case</w:t>
            </w:r>
          </w:p>
        </w:tc>
      </w:tr>
      <w:tr>
        <w:trPr>
          <w:trHeight w:val="573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0-28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0-14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14-28 d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 (0.34, 1.52)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 (0.31, 1.20)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 (0.65, 2.06)</w:t>
            </w:r>
          </w:p>
        </w:tc>
      </w:tr>
      <w:tr>
        <w:trPr>
          <w:trHeight w:val="616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Predators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 (0.55, 2.47)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 (0.37, 1.08)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1.83 (1.02, 3.20)</w:t>
            </w:r>
          </w:p>
        </w:tc>
      </w:tr>
    </w:tbl>
    <w:p>
      <w:pPr>
        <w:pStyle w:val="Normal"/>
      </w:pPr>
      <w:r>
        <w:t xml:space="preserve">Minnesota HPAI 2022: cumulative odds ratios for waterfowl and predator abundance over lag windows (0–14, 14–28, 0–28 days before the case).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2026-08-11T13:43:41Z</dcterms:modified>
  <cp:category/>
</cp:coreProperties>
</file>