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2025"/>
        <w:gridCol w:w="2025"/>
        <w:gridCol w:w="2025"/>
      </w:tblGrid>
      <w:tr>
        <w:trPr>
          <w:trHeight w:val="62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per +0.5 SD (95% CrI), by weeks before case</w:t>
            </w:r>
          </w:p>
        </w:tc>
      </w:tr>
      <w:tr>
        <w:trPr>
          <w:trHeight w:val="573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0-28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0-14 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14-28 d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1.48 (0.92, 2.50)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 (0.49, 0.98)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2.32 (1.49, 3.68)</w:t>
            </w:r>
          </w:p>
        </w:tc>
      </w:tr>
      <w:tr>
        <w:trPr>
          <w:trHeight w:val="616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Predators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 (0.29, 0.93)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(0.49, 1.12)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 (0.38, 1.01)</w:t>
            </w:r>
          </w:p>
        </w:tc>
      </w:tr>
    </w:tbl>
    <w:p>
      <w:pPr>
        <w:pStyle w:val="Normal"/>
      </w:pPr>
      <w:r>
        <w:t xml:space="preserve">Multi-state (Mississippi flyway): cumulative odds ratios for waterfowl and predator abundance over lag windows.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2026-08-11T13:43:41Z</dcterms:modified>
  <cp:category/>
</cp:coreProperties>
</file>