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3981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OR (95% CI), lag 0–28 d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Shortwave Radiation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16.55 (0.61, 445.80)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(0.02, 21.44)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Evapotranspiration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4.84 (0.40, 58.80)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12.55 (0.23, 692.31)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(0.19, 8.48)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(0.39, 3.92)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 (0.55, 7.19)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(0.26, 9.27)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 (0.04, 9.20)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Longwave Radiation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(0.02, 10.62)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 (0.23, 56.87)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Pressure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(0.07, 17.67)</w:t>
            </w:r>
          </w:p>
        </w:tc>
      </w:tr>
    </w:tbl>
    <w:p>
      <w:pPr>
        <w:pStyle w:val="Normal"/>
      </w:pPr>
      <w:r>
        <w:t xml:space="preserve">Cumulative odds ratios from the LASSO-reduced case-crossover model, retaining parent variables with at least one non-zero penalized coefficient at the optimal lambda. Per 0.5 SD increase.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2026-05-13T23:47:57Z</dcterms:modified>
  <cp:category/>
</cp:coreProperties>
</file>