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(0.97, 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(0.94, 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(0.90, 1.04)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(0.85, 1.03)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(0.98,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(0.95, 1.24)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(0.99, 1.15)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(0.80,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(0.95, 1.12)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(0.89, 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(0.75, 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(0.90,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(0.99,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(0.99, 1.22)</w:t>
            </w:r>
          </w:p>
        </w:tc>
      </w:tr>
    </w:tbl>
    <w:p>
      <w:pPr>
        <w:pStyle w:val="Normal"/>
      </w:pPr>
      <w:r>
        <w:t xml:space="preserve">Table: Lag-Specific Odds Ratios at Weekly Anchor Lags (0, 7, 14 days) for the Daily Time-Stratified Case-Crossover Model of HPAI Outbreaks in Minnesota, 2022. Estimates are per 0.5 standard deviation increase in each predictor. Statistically significant odds ratios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2026-05-14T14:33:39Z</dcterms:modified>
  <cp:category/>
</cp:coreProperties>
</file>