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1707"/>
        <w:gridCol w:w="2025"/>
        <w:gridCol w:w="2025"/>
        <w:gridCol w:w="2025"/>
        <w:gridCol w:w="2025"/>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8"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7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14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21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28 d</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(0.94, 1.19)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1.04 (0.96, 1.13)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1.17 (1.07, 1.30)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1.03 (0.95, 1.11)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 (0.91, 1.11)</w:t>
            </w:r>
          </w:p>
        </w:tc>
      </w:tr>
      <w:tr>
        <w:trPr>
          <w:trHeight w:val="61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1.04 (0.79,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1.10 (0.98,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1.07 (0.94,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 (0.88,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0.96 (0.79, 1.17)</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1.15 (0.95,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0.96 (0.84,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0.95 (0.84,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0.95 (0.83,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1.14 (0.88, 1.48)</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 (0.99,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0.94 (0.81,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0.83 (0.73,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0.95 (0.83,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1.07 (0.94, 1.21)</w:t>
            </w:r>
          </w:p>
        </w:tc>
      </w:tr>
      <w:tr>
        <w:trPr>
          <w:trHeight w:val="61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0.82 (0.72,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(0.94,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1.03 (0.92,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0.96 (0.85,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1.04 (0.90, 1.21)</w:t>
            </w:r>
          </w:p>
        </w:tc>
      </w:tr>
      <w:tr>
        <w:trPr>
          <w:trHeight w:val="616"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Anseriformes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(0.91, 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0.84 (0.65, 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1.20 (0.92, 1.57)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1.01 (0.88, 1.15)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1.01 (0.88, 1.15)</w:t>
            </w:r>
          </w:p>
        </w:tc>
      </w:tr>
    </w:tbl>
    <w:p>
      <w:pPr>
        <w:pStyle w:val="Normal"/>
      </w:pPr>
      <w:r>
        <w:t xml:space="preserve">Table: Lag-Specific Odds Ratios at Weekly Anchor Lags (Flexible DLNM) for HPAI Outbreaks in Minnesota, 2022. Estimates are per 0.5 SD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2026-05-16T13:38:01Z</dcterms:modified>
  <cp:category/>
</cp:coreProperties>
</file>