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A. Lag-specific odds ratios (per +0.5 SD)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2025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(0.92, 1.11)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(0.99, 1.12)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1.08 (1.01, 1.15)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(0.99, 1.10)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(0.91, 1.04)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(0.92,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(0.99,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(0.98,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(0.82, 1.04)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(0.93,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(0.88,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(0.88, 1.20)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(0.94,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(0.85,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0.88 (0.79,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(0.86,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(0.99, 1.18)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0.87 (0.78,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(0.89,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(0.93,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(0.96,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(0.91, 1.10)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(0.90, 1.19)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(0.70, 1.10)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(0.97, 1.54)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(0.89, 1.11)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(0.89, 1.11)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B. Cumulative odds ratios (per +0.5 SD)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2025"/>
        <w:gridCol w:w="2025"/>
        <w:gridCol w:w="2025"/>
        <w:gridCol w:w="2147"/>
        <w:gridCol w:w="2147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Odds Ratio (95% CI)</w:t>
            </w:r>
          </w:p>
        </w:tc>
      </w:tr>
      <w:tr>
        <w:trPr>
          <w:trHeight w:val="57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0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(0.92, 1.11)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(0.74, 2.27)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 (0.86, 5.17)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3.17 (0.96, 10.48)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3.23 (0.82, 12.66)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(0.92,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 (0.76, 3.99)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 (0.82, 9.45)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 (0.70, 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 (0.38, 16.80)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(0.93,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(0.56,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(0.30, 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(0.18, 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 (0.17, 2.59)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(0.94,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(0.42,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(0.10,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 (0.03,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(0.02, 1.87)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0.87 (0.78,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0.50 (0.26,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 (0.17,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(0.13, 2.85)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 (0.12, 3.83)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(0.90, 1.19)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 (0.49, 2.57)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(0.21, 1.77)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 (0.69, 5.86)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 (0.77, 4.71)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2026-05-16T13:38:01Z</dcterms:modified>
  <cp:category/>
</cp:coreProperties>
</file>