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2"/>
          <w:szCs w:val="22"/>
          <w:color w:val="000000"/>
        </w:rPr>
        <w:t xml:space="preserve">A. Lag-specific odds ratios (per +0.5 SD)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9"/>
        <w:gridCol w:w="1878"/>
        <w:gridCol w:w="1878"/>
        <w:gridCol w:w="1878"/>
        <w:gridCol w:w="1878"/>
        <w:gridCol w:w="1878"/>
      </w:tblGrid>
      <w:tr>
        <w:trPr>
          <w:trHeight w:val="602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Lag-specific OR (95% CI)</w:t>
            </w:r>
          </w:p>
        </w:tc>
      </w:tr>
      <w:tr>
        <w:trPr>
          <w:trHeight w:val="599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0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7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14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21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28 d</w:t>
            </w:r>
          </w:p>
        </w:tc>
      </w:tr>
      <w:tr>
        <w:trPr>
          <w:trHeight w:val="59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1.11 (1.03, 1.20)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1.16 (1.09, 1.23)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1.16 (1.09, 1.23)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1.08 (1.03, 1.13)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0.96 (0.90, 1.03)</w:t>
            </w:r>
          </w:p>
        </w:tc>
      </w:tr>
      <w:tr>
        <w:trPr>
          <w:trHeight w:val="59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1.10 (1.00,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1.09 (1.03,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1.08 (1.02,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1.07 (1.03,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1.07 (0.98, 1.16)</w:t>
            </w:r>
          </w:p>
        </w:tc>
      </w:tr>
      <w:tr>
        <w:trPr>
          <w:trHeight w:val="59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1.11 (1.03,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1.03 (0.99,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 (0.92,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0.92 (0.87, 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0.89 (0.78, 1.01)</w:t>
            </w:r>
          </w:p>
        </w:tc>
      </w:tr>
      <w:tr>
        <w:trPr>
          <w:trHeight w:val="59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 (0.86,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0.88 (0.82,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0.86 (0.79, 0.93)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0.91 (0.86,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1.03 (0.95, 1.11)</w:t>
            </w:r>
          </w:p>
        </w:tc>
      </w:tr>
      <w:tr>
        <w:trPr>
          <w:trHeight w:val="60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(0.94,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1.13 (1.07,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1.18 (1.11,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1.11 (1.06,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 (0.92, 1.05)</w:t>
            </w:r>
          </w:p>
        </w:tc>
      </w:tr>
      <w:tr>
        <w:trPr>
          <w:trHeight w:val="59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1.07 (0.99,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 (0.94,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0.89 (0.85, 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0.82 (0.77, 0.87)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0.75 (0.67, 0.84)</w:t>
            </w:r>
          </w:p>
        </w:tc>
      </w:tr>
      <w:tr>
        <w:trPr>
          <w:trHeight w:val="597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0.83 (0.73, 0.94)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1.17 (0.99, 1.38)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 (0.84, 1.08)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1.13 (1.05, 1.21)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1.13 (1.05, 1.21)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2"/>
          <w:szCs w:val="22"/>
          <w:color w:val="000000"/>
        </w:rPr>
        <w:t xml:space="preserve">B. Cumulative odds ratios (per +0.5 SD)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9"/>
        <w:gridCol w:w="1878"/>
        <w:gridCol w:w="1878"/>
        <w:gridCol w:w="1990"/>
        <w:gridCol w:w="2101"/>
        <w:gridCol w:w="2101"/>
      </w:tblGrid>
      <w:tr>
        <w:trPr>
          <w:trHeight w:val="599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Cumulative OR (95% CI)</w:t>
            </w:r>
          </w:p>
        </w:tc>
      </w:tr>
      <w:tr>
        <w:trPr>
          <w:trHeight w:val="562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Cum ≤ 0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Cum ≤ 7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Cum ≤ 14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Cum ≤ 21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Cum ≤ 28 d</w:t>
            </w:r>
          </w:p>
        </w:tc>
      </w:tr>
      <w:tr>
        <w:trPr>
          <w:trHeight w:val="59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1.11 (1.03, 1.20)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2.77 (1.66, 4.62)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8.12 (3.40, 19.37)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17.91 (5.55, 57.79)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19.69 (5.15, 75.22)</w:t>
            </w:r>
          </w:p>
        </w:tc>
      </w:tr>
      <w:tr>
        <w:trPr>
          <w:trHeight w:val="59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1.10 (1.00,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2.03 (1.16, 3.57)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3.59 (1.54, 8.39)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6.04 (2.06, 17.77)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9.71 (2.82, 33.50)</w:t>
            </w:r>
          </w:p>
        </w:tc>
      </w:tr>
      <w:tr>
        <w:trPr>
          <w:trHeight w:val="59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1.11 (1.03,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1.73 (1.16, 2.56)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1.68 (0.97, 2.90)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1.11 (0.55, 2.22)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0.54 (0.22, 1.34)</w:t>
            </w:r>
          </w:p>
        </w:tc>
      </w:tr>
      <w:tr>
        <w:trPr>
          <w:trHeight w:val="59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 (0.86,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0.47 (0.25, 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0.17 (0.06, 0.49)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0.07 (0.02, 0.31)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0.06 (0.01, 0.33)</w:t>
            </w:r>
          </w:p>
        </w:tc>
      </w:tr>
      <w:tr>
        <w:trPr>
          <w:trHeight w:val="60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(0.94,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1.65 (1.10, 2.49)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4.91 (2.34, 10.31)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13.31 (4.56, 38.85)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17.48 (5.00, 61.07)</w:t>
            </w:r>
          </w:p>
        </w:tc>
      </w:tr>
      <w:tr>
        <w:trPr>
          <w:trHeight w:val="59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1.07 (0.99,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1.19 (0.82, 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0.71 (0.42,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0.23 (0.11, 0.48)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0.04 (0.01, 0.12)</w:t>
            </w:r>
          </w:p>
        </w:tc>
      </w:tr>
      <w:tr>
        <w:trPr>
          <w:trHeight w:val="597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0.83 (0.73, 0.94)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0.31 (0.14, 0.66)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0.76 (0.44, 1.30)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0.64 (0.37, 1.13)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1.48 (0.85, 2.58)</w:t>
            </w:r>
          </w:p>
        </w:tc>
      </w:tr>
    </w:tbl>
    <w:p>
      <w:pPr>
        <w:pStyle w:val="Normal"/>
      </w:pPr>
      <w:r>
        <w:t xml:space="preserve">Lag-specific (Panel A) and cumulative (Panel B) odds ratios, per +0.5 SD, from the gridded multi-state (7-state) daily time-stratified case-crossover DLNM of HPAI spillover, 2022 — independent introductions only (n = 173 cases). 95% CIs excluding 1 are bold.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2026-07-11T13:58:32Z</dcterms:modified>
  <cp:category/>
</cp:coreProperties>
</file>