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A. Lag-specific odds ratios (per +0.5 SD) — ns(df=2)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9"/>
        <w:gridCol w:w="1878"/>
        <w:gridCol w:w="1878"/>
        <w:gridCol w:w="1878"/>
        <w:gridCol w:w="1878"/>
        <w:gridCol w:w="1878"/>
      </w:tblGrid>
      <w:tr>
        <w:trPr>
          <w:trHeight w:val="602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Lag-specific OR (95% CI)</w:t>
            </w:r>
          </w:p>
        </w:tc>
      </w:tr>
      <w:tr>
        <w:trPr>
          <w:trHeight w:val="599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28 d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1.15 (1.08, 1.23)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1.12 (1.06, 1.17)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1.09 (1.05, 1.13)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1.06 (1.02, 1.10)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 (0.98, 1.09)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 (0.98,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1.05 (1.00,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1.05 (1.01,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1.06 (1.01,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1.06 (1.00, 1.12)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1.08 (1.02,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 (0.99,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(0.95,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0.93 (0.89,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0.89 (0.82, 0.96)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0.89 (0.83,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0.91 (0.86,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0.93 (0.88,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0.95 (0.90,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(0.91, 1.03)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1.08 (1.02,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1.08 (1.03,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1.08 (1.04,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1.07 (1.03,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1.07 (1.02, 1.13)</w:t>
            </w:r>
          </w:p>
        </w:tc>
      </w:tr>
      <w:tr>
        <w:trPr>
          <w:trHeight w:val="59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 (0.99,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0.97 (0.93,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0.90 (0.87, 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0.84 (0.80,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0.79 (0.73, 0.85)</w:t>
            </w:r>
          </w:p>
        </w:tc>
      </w:tr>
      <w:tr>
        <w:trPr>
          <w:trHeight w:val="59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0.83 (0.75, 0.93)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1.18 (1.03, 1.35)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0.94 (0.86, 1.04)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1.11 (1.05, 1.18)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1.11 (1.05, 1.18)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B. Cumulative odds ratios (per +0.5 SD) — ns(df=2)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9"/>
        <w:gridCol w:w="1878"/>
        <w:gridCol w:w="1878"/>
        <w:gridCol w:w="1990"/>
        <w:gridCol w:w="1990"/>
        <w:gridCol w:w="2101"/>
      </w:tblGrid>
      <w:tr>
        <w:trPr>
          <w:trHeight w:val="599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Cumulative OR (95% CI)</w:t>
            </w:r>
          </w:p>
        </w:tc>
      </w:tr>
      <w:tr>
        <w:trPr>
          <w:trHeight w:val="562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0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28 d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1.15 (1.08, 1.23)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2.71 (1.72, 4.28)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5.31 (2.52, 11.23)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8.63 (3.27, 22.78)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11.63 (3.60, 37.52)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 (0.98,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1.41 (0.91, 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1.97 (0.98, 3.98)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2.86 (1.18, 6.93)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4.27 (1.47, 12.37)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1.08 (1.02,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1.49 (1.05,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1.48 (0.91, 2.38)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1.05 (0.59,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 (0.23, 1.22)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0.89 (0.83,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0.44 (0.25,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0.25 (0.10, 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0.16 (0.05, 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0.12 (0.03, 0.53)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1.08 (1.02,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1.83 (1.25, 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3.06 (1.64, 5.73)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5.07 (2.19, 11.73)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8.30 (2.87, 24.01)</w:t>
            </w:r>
          </w:p>
        </w:tc>
      </w:tr>
      <w:tr>
        <w:trPr>
          <w:trHeight w:val="59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 (0.99,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(0.73,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0.60 (0.36,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0.22 (0.11,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0.05 (0.02, 0.14)</w:t>
            </w:r>
          </w:p>
        </w:tc>
      </w:tr>
      <w:tr>
        <w:trPr>
          <w:trHeight w:val="59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0.83 (0.75, 0.93)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0.33 (0.17, 0.61)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 (0.53, 1.28)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 (0.40, 1.04)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1.35 (0.83, 2.18)</w:t>
            </w:r>
          </w:p>
        </w:tc>
      </w:tr>
    </w:tbl>
    <w:p>
      <w:pPr>
        <w:pStyle w:val="Normal"/>
      </w:pPr>
      <w:r>
        <w:t xml:space="preserve">Sensitivity — meteorological lag basis reduced to ns(df=2). Lag-specific (Panel A) and cumulative (Panel B) odds ratios, per +0.5 SD, gridded multi-state daily case-crossover DLNM, independent introductions only (n = 173 cases). 95% CIs excluding 1 are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2026-07-11T13:58:33Z</dcterms:modified>
  <cp:category/>
</cp:coreProperties>
</file>