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3162"/>
        <w:gridCol w:w="2025"/>
        <w:gridCol w:w="2759"/>
        <w:gridCol w:w="3126"/>
      </w:tblGrid>
      <w:tr>
        <w:trPr>
          <w:trHeight w:val="619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(95% CI), per 0.5 SD</w:t>
            </w:r>
          </w:p>
        </w:tc>
      </w:tr>
      <w:tr>
        <w:trPr>
          <w:trHeight w:val="62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0–14 d (short-lag sensitivity)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0–28 d (primary)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0–42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0–56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(0.54, 2.44)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(0.04, 2.21)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(0.01, 5.83)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 (0.77, 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(0.00,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 (0.00, 19.49)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 (0.86, 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4.97 (0.44, 56.58)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29.40 (0.28, 3036.15)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(0.38,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184.21 (0.70, 48405.23)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579.28 (0.01, 41070917.80)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(0.60,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 (0.32,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3.07 (0.10, 91.12)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105.51 (0.34, 32361.00)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(0.85, 2.47)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 (1.13, 5.81)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17.93 (3.08, 104.44)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77.35 (4.04, 1481.49)</w:t>
            </w:r>
          </w:p>
        </w:tc>
      </w:tr>
    </w:tbl>
    <w:p>
      <w:pPr>
        <w:pStyle w:val="Normal"/>
      </w:pPr>
      <w:r>
        <w:t xml:space="preserve">Cumulative odds ratios across DLNM lag windows (0–28 d primary; 0–14, 0–42, 0–56 d sensitivities) for the daily time-stratified case-crossover model, per 0.5 SD increase in each predictor.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2026-05-14T00:58:21Z</dcterms:modified>
  <cp:category/>
</cp:coreProperties>
</file>