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2037"/>
        <w:gridCol w:w="2270"/>
        <w:gridCol w:w="4350"/>
      </w:tblGrid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Pooled (primary)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Spring (Mar–May)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Fall (Sep–Nov)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 (0.39, 3.43)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(0.19, 3.55)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44.90 (0.00, 2434452704046.01)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(0.15, 3.89)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 (0.03, 24.60)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(0.00, 3.87)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 (0.76, 6.48)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8.17 (0.80, 83.34)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(0.00, 0.76)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 (0.21, 8.96)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 (0.06, 13.30)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157356.15 (0.00, 186549037390337.94)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 (0.32, 6.48)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7.05 (0.46, 108.63)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(0.00, 120491.20)</w:t>
            </w:r>
          </w:p>
        </w:tc>
      </w:tr>
      <w:tr>
        <w:trPr>
          <w:trHeight w:val="616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2.57 (1.13, 5.81)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4.18 (0.89, 19.73)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10.43 (0.12, 929.99)</w:t>
            </w:r>
          </w:p>
        </w:tc>
      </w:tr>
    </w:tbl>
    <w:p>
      <w:pPr>
        <w:pStyle w:val="Normal"/>
      </w:pPr>
      <w:r>
        <w:t xml:space="preserve">Cumulative ORs (per 0.5 SD, lag 0-28 d) for the pooled primary case-crossover model and migration-season stratified sensitivities. Spring = March-May; Fall = September-November.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2026-05-14T00:58:32Z</dcterms:modified>
  <cp:category/>
</cp:coreProperties>
</file>