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3"/>
        <w:gridCol w:w="1878"/>
        <w:gridCol w:w="2123"/>
        <w:gridCol w:w="2078"/>
        <w:gridCol w:w="2334"/>
      </w:tblGrid>
      <w:tr>
        <w:trPr>
          <w:trHeight w:val="60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 (per +0.5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 · all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Daily · independent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Weekly · all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Weekly · independent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2.23 (1.42, 3.50)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 (1.23, 3.00)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2.96 (1.82, 4.84)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2.72 (1.66, 4.46)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 (0.21,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 (0.11,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(0.55,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(0.46, 1.63)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 (0.58,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 (0.72,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(0.72,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(0.73, 1.94)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 (0.44,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 (0.36,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(0.46,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(0.44, 1.08)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(0.44,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(0.59, 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(0.36,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(0.40, 2.55)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(0.48,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(0.47,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 (0.43,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 (0.42, 1.59)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(0.49, 2.31)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(0.48, 2.58)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(0.60, 1.46)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 (0.59, 1.49)</w:t>
            </w:r>
          </w:p>
        </w:tc>
      </w:tr>
    </w:tbl>
    <w:p>
      <w:pPr>
        <w:pStyle w:val="Normal"/>
      </w:pPr>
      <w:r>
        <w:t xml:space="preserve">Cumulative odds ratios (per +0.5 SD, whole lag window) from the gridded multi-state (7-state) case-crossover DLNM. Daily = lag 0–28 d; weekly = lag 0–4 wk. All events vs. independent introductions (cross-farm CSLT/NOSEQ and spatio-temporal non-independent events removed). Cases per model: Daily · all events n=213; Daily · independent n=173; Weekly · all events n=206; Weekly · independent n=171.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2026-06-17T23:19:01Z</dcterms:modified>
  <cp:category/>
</cp:coreProperties>
</file>