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A. Linear-argvar predictors (per +0.5 SD increase)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4134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(95% CI), per +0.5 SD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(0.29, 3.36)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 (0.21, 9.56)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(0.05, 2.64)</w:t>
            </w:r>
          </w:p>
        </w:tc>
      </w:tr>
      <w:tr>
        <w:trPr>
          <w:trHeight w:val="616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 (0.62, 5.01)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B. Nonlinear-argvar predictors (temperature and precipitation, ns df = 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56"/>
        <w:gridCol w:w="2212"/>
        <w:gridCol w:w="2089"/>
        <w:gridCol w:w="2139"/>
        <w:gridCol w:w="1990"/>
        <w:gridCol w:w="2212"/>
      </w:tblGrid>
      <w:tr>
        <w:trPr>
          <w:trHeight w:val="56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 at -1 SD vs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 at -0.5 SD vs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 at +0.5 SD vs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 at +1 SD vs 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 +1 SD vs -1 SD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 (0.00, 0.38)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 (0.06, 1.07)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 (0.13, 3.09)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 (0.00, 4.57)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8.58 (0.04, 1767.27)</w:t>
            </w:r>
          </w:p>
        </w:tc>
      </w:tr>
      <w:tr>
        <w:trPr>
          <w:trHeight w:val="59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1.20 (0.00, 3152.02)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 (0.05, 29.16)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 (0.07, 5.88)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 (0.00, 35.70)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 (0.00, 7193.35)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C. Fit statistics: primary (linear argvar) vs nonlinear-argvar sensitivity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84"/>
        <w:gridCol w:w="655"/>
        <w:gridCol w:w="1524"/>
        <w:gridCol w:w="1328"/>
        <w:gridCol w:w="1328"/>
        <w:gridCol w:w="1670"/>
        <w:gridCol w:w="1451"/>
        <w:gridCol w:w="132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dBIC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(linear argvar)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-105.67693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249.3539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295.9865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0.6898955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0.8308522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</w:t>
            </w:r>
          </w:p>
        </w:tc>
      </w:tr>
      <w:tr>
        <w:trPr>
          <w:trHeight w:val="62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Nonlinear argvar (temp + precip)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-99.26151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248.5230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309.8817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0.7317073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13.89523</w:t>
            </w:r>
          </w:p>
        </w:tc>
      </w:tr>
    </w:tbl>
    <w:p>
      <w:pPr>
        <w:pStyle w:val="Normal"/>
      </w:pPr>
      <w:r>
        <w:t xml:space="preserve">Cumulative ORs (lag 0-28 d) under a mixed-basis specification: argvar = ns(df=2) for temperature and precipitation (threshold/U-shape biology); argvar = linear for runoff, soil moisture, and wind speed; arglag = ns(df=2) for all met variables; arglag = strata(7) for anseriformes.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2026-05-14T00:58:34Z</dcterms:modified>
  <cp:category/>
</cp:coreProperties>
</file>