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3088"/>
        <w:gridCol w:w="3284"/>
        <w:gridCol w:w="2128"/>
        <w:gridCol w:w="2128"/>
        <w:gridCol w:w="2128"/>
        <w:gridCol w:w="2128"/>
      </w:tblGrid>
      <w:tr>
        <w:trPr>
          <w:trHeight w:val="59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Observed OR (95% CI), ≤28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MDE at current N (α=0.05, 80%)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to detect OR=1.5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to detect OR=2.0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to detect OR=2.5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 to detect OR=3.0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(0.39, 3.43)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170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(0.15,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378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 (0.76,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168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(0.21,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510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(0.32,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329</w:t>
            </w:r>
          </w:p>
        </w:tc>
      </w:tr>
      <w:tr>
        <w:trPr>
          <w:trHeight w:val="59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(1.13, 5.81)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</w:t>
            </w:r>
          </w:p>
        </w:tc>
      </w:tr>
    </w:tbl>
    <w:p>
      <w:pPr>
        <w:pStyle w:val="Normal"/>
      </w:pPr>
      <w:r>
        <w:t xml:space="preserve">Post-hoc power analysis at the cumulative ≤28 d window (current N = 86 case-zone-days). MDE: minimum detectable cumulative OR at α = 0.05 (two-sided) with 80% power. N columns: number of case-zone-days required to detect the indicated target OR with 80% power, assuming the predictor SE scales as 1/sqrt(N). A standard-error inflation factor of (1.96 + 0.84) = 2.80 is used for the α = 0.05, 80% power criterion.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2026-05-14T15:14:29Z</dcterms:modified>
  <cp:category/>
</cp:coreProperties>
</file>