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9"/>
        <w:gridCol w:w="2067"/>
        <w:gridCol w:w="2500"/>
        <w:gridCol w:w="2467"/>
        <w:gridCol w:w="1467"/>
      </w:tblGrid>
      <w:tr>
        <w:trPr>
          <w:trHeight w:val="60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Wald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Profile-LR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Bootstrap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Bootstrap N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2.57 (1.13, 5.81)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2.57 (1.00, 1.01)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2.57 (1.16, 16.45)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500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1.38 (0.21, 8.96)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1.38 (0.97,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1.38 (0.11, 20.37)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500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 (0.39, 3.43)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 (0.21, 5.02)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500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0.78 (0.15, 3.89)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0.78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0.78 (0.10, 7.00)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500</w:t>
            </w:r>
          </w:p>
        </w:tc>
      </w:tr>
      <w:tr>
        <w:trPr>
          <w:trHeight w:val="59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2.22 (0.76, 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2.22 (0.99,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2.22 (0.70, 11.37)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500</w:t>
            </w:r>
          </w:p>
        </w:tc>
      </w:tr>
      <w:tr>
        <w:trPr>
          <w:trHeight w:val="60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1.44 (0.32, 6.48)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1.44 (0.97, 1.03)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1.44 (0.19, 17.78)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500</w:t>
            </w:r>
          </w:p>
        </w:tc>
      </w:tr>
    </w:tbl>
    <w:p>
      <w:pPr>
        <w:pStyle w:val="Normal"/>
      </w:pPr>
      <w:r>
        <w:t xml:space="preserve">Cumulative OR estimates (per +0.5 SD, lag 0-28 d) for the primary 6-variable case-crossover DLNM under three interval-estimation methods. Wald: asymptotic standard error from the model fit. Profile likelihood: reparameterized clogit with the cumulative contrast as a single coefficient, profile-LR interval. Bootstrap: 500 cluster-bootstrap resamples (stratum as cluster), refit primary model on each, percentile interval. Profile-LR and bootstrap intervals are more accurate than Wald at small samples (N = 370 case-zone-days).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2026-05-14T14:48:01Z</dcterms:modified>
  <cp:category/>
</cp:coreProperties>
</file>