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6"/>
        <w:gridCol w:w="3981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OR (95% CI), lag 0–28 d</w:t>
            </w:r>
          </w:p>
        </w:tc>
      </w:tr>
      <w:tr>
        <w:trPr>
          <w:trHeight w:val="61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 (0.58, 1.56)</w:t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Dewpoint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 (0.53, 1.56)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Relative Humidity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 (0.28, 1.15)</w:t>
            </w:r>
          </w:p>
        </w:tc>
      </w:tr>
      <w:tr>
        <w:trPr>
          <w:trHeight w:val="61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(0.47, 2.06)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 (0.51, 2.41)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 (0.83, 1.97)</w:t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(0.38, 1.71)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(0.52, 1.80)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Evapotranspiration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 (0.95, 2.83)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Leaf Area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(0.14, 2.68)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Shortwave Radiation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 (0.54, 1.48)</w:t>
            </w:r>
          </w:p>
        </w:tc>
      </w:tr>
      <w:tr>
        <w:trPr>
          <w:trHeight w:val="61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Longwave Radiation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(0.48, 1.46)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Surface Pressure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(0.41, 1.84)</w:t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Bird Abundance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1.95 (1.25, 3.02)</w:t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 (1.28, 2.88)</w:t>
            </w:r>
          </w:p>
        </w:tc>
      </w:tr>
      <w:tr>
        <w:trPr>
          <w:trHeight w:val="616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Predators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 (0.79, 1.64)</w:t>
            </w:r>
          </w:p>
        </w:tc>
      </w:tr>
    </w:tbl>
    <w:p>
      <w:pPr>
        <w:pStyle w:val="Normal"/>
      </w:pPr>
      <w:r>
        <w:t xml:space="preserve">Univariate cumulative odds ratios from time-stratified case-crossover DLNM, one variable per model, per 0.5 SD increase across lag 0-28 d. Strata: zone x year x calendar month x day-of-week.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2026-05-13T23:15:23Z</dcterms:modified>
  <cp:category/>
</cp:coreProperties>
</file>