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990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 wk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4 wk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(0.71,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(0.85, 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(0.86, 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(0.76, 1.50)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(0.85,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(0.89,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(0.71, 1.14)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 (0.76,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(0.84,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(0.90,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(0.90, 1.23)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(0.71,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(0.79,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(0.86,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(0.78, 1.29)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(0.58,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(0.77,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(0.80,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 (0.62, 1.79)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 (0.09,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 (0.29,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(0.63,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1.39 (0.49, 3.93)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1.94 (0.31, 12.27)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(0.83, 1.20)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(0.90, 1.08)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(0.92,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(0.85, 1.09)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(0.76, 1.18)</w:t>
            </w:r>
          </w:p>
        </w:tc>
      </w:tr>
    </w:tbl>
    <w:p>
      <w:pPr>
        <w:pStyle w:val="Normal"/>
      </w:pPr>
      <w:r>
        <w:t xml:space="preserve">Per-lag-week hazard ratios from the Andersen-Gill recurrent-event Cox model at weekly resolution (lag 0-4 weeks, ns df=2), per +0.5 SD increase in each predictor. Baseline hazard stratified by calendar month; cluster-robust SEs clustered on zone. AG panel n = 3640 zone-weeks across 70 case zones with 85 events.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2026-05-16T14:59:28Z</dcterms:modified>
  <cp:category/>
</cp:coreProperties>
</file>