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2300"/>
        <w:gridCol w:w="2734"/>
        <w:gridCol w:w="2734"/>
      </w:tblGrid>
      <w:tr>
        <w:trPr>
          <w:trHeight w:val="60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Cox AG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Path A clogit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Path B clogit OR (95% CI)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(0.84, 1.34)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 (0.42, 2.12)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3.48 (0.93, 12.94)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(0.64,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 (0.08,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 (0.41, 3.25)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 (0.60,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5.12 (1.68, 15.62)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(0.51, 2.25)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 (0.47,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 (0.01,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(0.30, 3.04)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(0.91,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32.48 (1.50, 701.83)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2.55 (0.18, 36.93)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(0.10, 10.06)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 (0.05, 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2.20 (0.34, 14.24)</w:t>
            </w:r>
          </w:p>
        </w:tc>
      </w:tr>
      <w:tr>
        <w:trPr>
          <w:trHeight w:val="60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(0.65, 1.16)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2.33 (0.82, 6.60)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1.09 (0.50, 2.40)</w:t>
            </w:r>
          </w:p>
        </w:tc>
      </w:tr>
    </w:tbl>
    <w:p>
      <w:pPr>
        <w:pStyle w:val="Normal"/>
      </w:pPr>
      <w:r>
        <w:t xml:space="preserve">Cumulative weekly effect estimates (per +0.5 SD, lag 0-4 weeks) across three modeling approaches on the same weekly panel (CSLT excluded): Andersen-Gill recurrent-event Cox model (HR), 1:4 unidirectional case-crossover (Path A clogit OR), and time-stratified case-crossover (Path B clogit OR).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2026-05-16T14:59:28Z</dcterms:modified>
  <cp:category/>
</cp:coreProperties>
</file>