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07"/>
        <w:gridCol w:w="2575"/>
        <w:gridCol w:w="2599"/>
      </w:tblGrid>
      <w:tr>
        <w:trPr>
          <w:trHeight w:val="616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Path A (unidirectional)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Path B (time-stratified)</w:t>
            </w:r>
          </w:p>
        </w:tc>
      </w:tr>
      <w:tr>
        <w:trPr>
          <w:trHeight w:val="616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 (0.42, 2.12)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3.48 (0.93, 12.94)</w:t>
            </w:r>
          </w:p>
        </w:tc>
      </w:tr>
      <w:tr>
        <w:trPr>
          <w:trHeight w:val="616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 (0.08, 0.84)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 (0.41, 3.25)</w:t>
            </w:r>
          </w:p>
        </w:tc>
      </w:tr>
      <w:tr>
        <w:trPr>
          <w:trHeight w:val="616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5.12 (1.68, 15.62)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 (0.51, 2.25)</w:t>
            </w:r>
          </w:p>
        </w:tc>
      </w:tr>
      <w:tr>
        <w:trPr>
          <w:trHeight w:val="616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Snow Cover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 (0.01, 0.41)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 (0.30, 3.04)</w:t>
            </w:r>
          </w:p>
        </w:tc>
      </w:tr>
      <w:tr>
        <w:trPr>
          <w:trHeight w:val="616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32.48 (1.50, 701.83)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2.55 (0.18, 36.93)</w:t>
            </w:r>
          </w:p>
        </w:tc>
      </w:tr>
      <w:tr>
        <w:trPr>
          <w:trHeight w:val="616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 (0.05, 3.48)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2.20 (0.34, 14.24)</w:t>
            </w:r>
          </w:p>
        </w:tc>
      </w:tr>
      <w:tr>
        <w:trPr>
          <w:trHeight w:val="619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Wind Speed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2.33 (0.82, 6.60)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 (0.50, 2.40)</w:t>
            </w:r>
          </w:p>
        </w:tc>
      </w:tr>
    </w:tbl>
    <w:p>
      <w:pPr>
        <w:pStyle w:val="Normal"/>
      </w:pPr>
      <w:r>
        <w:t xml:space="preserve">Weekly case-crossover cumulative ORs (per +0.5 SD, lag 0-4 weeks) for the primary 6-variable DLNM after CSLT exclusion. Path A: original design with 1:4 unidirectional matching (4 controls at week-1, -2, -3, -4 before each case week). Path B: time-stratified matching (zone × year × calendar month strata) that removes seasonal-trend confounding. N cases (Path A) = 85; N cases (Path B) = 80.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2026-05-16T14:57:02Z</dcterms:modified>
  <cp:category/>
</cp:coreProperties>
</file>