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A. Path A — 1:4 unidirectional (original design)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87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4 wk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 (0.33, 0.90)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 (0.56, 0.96)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(0.84, 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 (0.95, 1.84)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1.78 (1.01, 3.13)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(0.69,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 (0.65,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 (0.60,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(0.53,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 (0.46, 0.86)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 (1.04,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(1.09,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1.39 (1.11,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 (1.09,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1.41 (1.05, 1.88)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 (0.70, 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(0.54,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 (0.37,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 (0.21,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 (0.10, 0.42)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 (0.48, 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 (0.75, 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2.01 (1.08, 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2.58 (1.37, 4.85)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3.31 (1.54, 7.15)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1.76 (0.84, 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1.22 (0.75,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 (0.56,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 (0.32,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 (0.17, 0.98)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(0.87, 1.59)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(0.93, 1.50)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(0.96, 1.46)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(0.95, 1.48)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(0.90, 1.57)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B. Path B — time-stratified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87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4 wk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(0.56, 1.83)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(0.76, 1.71)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1.28 (0.99, 1.67)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(1.12, 1.86)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1.62 (1.10, 2.40)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(0.86,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(0.85,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(0.84,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(0.80,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(0.74, 1.12)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(0.79,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(0.84,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(0.88,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(0.87, 1.33)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1.34 (0.81,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(0.82,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(0.79,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 (0.67,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 (0.51, 1.05)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1.69 (0.67, 4.27)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1.43 (0.73,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 (0.71,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(0.57,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(0.39, 1.92)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 (0.96, 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(0.91,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(0.81,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(0.61,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(0.40, 1.18)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(0.81, 1.34)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(0.85,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(0.87,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(0.85, 1.20)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(0.79, 1.25)</w:t>
            </w:r>
          </w:p>
        </w:tc>
      </w:tr>
    </w:tbl>
    <w:p>
      <w:pPr>
        <w:pStyle w:val="Normal"/>
      </w:pPr>
      <w:r>
        <w:t xml:space="preserve">Per-lag-week ORs (per +0.5 SD) from the weekly primary case-crossover DLNM (lag 0-4 weeks, ns df=2). CSLT-linked events excluded throughout.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2026-05-16T14:57:02Z</dcterms:modified>
  <cp:category/>
</cp:coreProperties>
</file>