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71"/>
        <w:gridCol w:w="1061"/>
        <w:gridCol w:w="1861"/>
        <w:gridCol w:w="2341"/>
        <w:gridCol w:w="1146"/>
        <w:gridCol w:w="2391"/>
        <w:gridCol w:w="1196"/>
      </w:tblGrid>
      <w:tr>
        <w:trPr>
          <w:trHeight w:val="58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Window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Freq OR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Bayes flat OR (95% CrI)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P(&gt;0) flat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Bayes info OR (95% CrI)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P(&gt;0) info</w:t>
            </w:r>
          </w:p>
        </w:tc>
      </w:tr>
      <w:tr>
        <w:trPr>
          <w:trHeight w:val="57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0–7 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0.95 (0.50, 1.81)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0.95 (0.50, 1.82)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0.97 (0.56, 1.67)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0.454</w:t>
            </w:r>
          </w:p>
        </w:tc>
      </w:tr>
      <w:tr>
        <w:trPr>
          <w:trHeight w:val="57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8–14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1.17 (0.80, 1.70)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1.17 (0.80, 1.70)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1.14 (0.81, 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0.774</w:t>
            </w:r>
          </w:p>
        </w:tc>
      </w:tr>
      <w:tr>
        <w:trPr>
          <w:trHeight w:val="57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15–21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1.14 (0.78, 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1.14 (0.78, 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1.13 (0.80, 1.59)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0.752</w:t>
            </w:r>
          </w:p>
        </w:tc>
      </w:tr>
      <w:tr>
        <w:trPr>
          <w:trHeight w:val="57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22–28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0.92 (0.61,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0.92 (0.60, 1.40)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0.96 (0.65,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0.410</w:t>
            </w:r>
          </w:p>
        </w:tc>
      </w:tr>
      <w:tr>
        <w:trPr>
          <w:trHeight w:val="57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0–7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1.29 (0.59, 2.78)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1.29 (0.59, 2.80)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1.24 (0.66, 2.36)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0.744</w:t>
            </w:r>
          </w:p>
        </w:tc>
      </w:tr>
      <w:tr>
        <w:trPr>
          <w:trHeight w:val="57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8–14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1.03 (0.68, 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1.03 (0.68, 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1.02 (0.71,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0.544</w:t>
            </w:r>
          </w:p>
        </w:tc>
      </w:tr>
      <w:tr>
        <w:trPr>
          <w:trHeight w:val="57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15–21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0.85 (0.57,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0.85 (0.57,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0.87 (0.61,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0.236</w:t>
            </w:r>
          </w:p>
        </w:tc>
      </w:tr>
      <w:tr>
        <w:trPr>
          <w:trHeight w:val="57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22–28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0.69 (0.40,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0.69 (0.40, 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0.75 (0.46,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0.116</w:t>
            </w:r>
          </w:p>
        </w:tc>
      </w:tr>
      <w:tr>
        <w:trPr>
          <w:trHeight w:val="57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0–7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1.26 (0.74, 2.15)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1.25 (0.74, 2.18)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1.23 (0.76, 2.02)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0.809</w:t>
            </w:r>
          </w:p>
        </w:tc>
      </w:tr>
      <w:tr>
        <w:trPr>
          <w:trHeight w:val="57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8–14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1.18 (0.76, 1.85)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1.18 (0.76, 1.85)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1.14 (0.78, 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0.755</w:t>
            </w:r>
          </w:p>
        </w:tc>
      </w:tr>
      <w:tr>
        <w:trPr>
          <w:trHeight w:val="57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15–21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1.19 (0.81, 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1.19 (0.81, 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1.11 (0.80, 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0.731</w:t>
            </w:r>
          </w:p>
        </w:tc>
      </w:tr>
      <w:tr>
        <w:trPr>
          <w:trHeight w:val="57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22–28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1.25 (0.62, 2.51)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1.24 (0.62, 2.46)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1.11 (0.62, 1.99)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0.643</w:t>
            </w:r>
          </w:p>
        </w:tc>
      </w:tr>
      <w:tr>
        <w:trPr>
          <w:trHeight w:val="57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0–7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1.32 (0.68, 2.58)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1.32 (0.67, 2.57)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1.23 (0.70, 2.17)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0.768</w:t>
            </w:r>
          </w:p>
        </w:tc>
      </w:tr>
      <w:tr>
        <w:trPr>
          <w:trHeight w:val="57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8–14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0.85 (0.48,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0.85 (0.49, 1.48)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0.86 (0.54,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0.268</w:t>
            </w:r>
          </w:p>
        </w:tc>
      </w:tr>
      <w:tr>
        <w:trPr>
          <w:trHeight w:val="57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15–21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0.89 (0.53,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0.89 (0.53,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0.90 (0.58,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0.310</w:t>
            </w:r>
          </w:p>
        </w:tc>
      </w:tr>
      <w:tr>
        <w:trPr>
          <w:trHeight w:val="57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22–28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1.38 (0.86, 2.20)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1.37 (0.86, 2.20)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1.28 (0.84, 1.96)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0.877</w:t>
            </w:r>
          </w:p>
        </w:tc>
      </w:tr>
      <w:tr>
        <w:trPr>
          <w:trHeight w:val="58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0–7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0.60 (0.34,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0.61 (0.34,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0.69 (0.42,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0.074</w:t>
            </w:r>
          </w:p>
        </w:tc>
      </w:tr>
      <w:tr>
        <w:trPr>
          <w:trHeight w:val="58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8–14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1.31 (0.76, 2.26)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1.31 (0.76, 2.26)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1.22 (0.77, 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0.802</w:t>
            </w:r>
          </w:p>
        </w:tc>
      </w:tr>
      <w:tr>
        <w:trPr>
          <w:trHeight w:val="58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15–21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1.55 (0.91, 2.65)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1.54 (0.91, 2.63)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1.39 (0.87, 2.25)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0.915</w:t>
            </w:r>
          </w:p>
        </w:tc>
      </w:tr>
      <w:tr>
        <w:trPr>
          <w:trHeight w:val="58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22–28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1.17 (0.73, 1.87)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1.17 (0.74, 1.88)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1.12 (0.73, 1.73)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0.701</w:t>
            </w:r>
          </w:p>
        </w:tc>
      </w:tr>
      <w:tr>
        <w:trPr>
          <w:trHeight w:val="57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0–7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0.95 (0.43, 2.09)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0.94 (0.43, 2.11)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0.96 (0.55, 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0.442</w:t>
            </w:r>
          </w:p>
        </w:tc>
      </w:tr>
      <w:tr>
        <w:trPr>
          <w:trHeight w:val="57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8–14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0.65 (0.22, 1.90)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0.64 (0.22, 1.88)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0.77 (0.36, 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0.249</w:t>
            </w:r>
          </w:p>
        </w:tc>
      </w:tr>
      <w:tr>
        <w:trPr>
          <w:trHeight w:val="57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15–21 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3.22 (0.91, 11.44)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3.23 (0.88, 11.19)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2.11 (0.81, 5.46)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0.942</w:t>
            </w:r>
          </w:p>
        </w:tc>
      </w:tr>
      <w:tr>
        <w:trPr>
          <w:trHeight w:val="579" w:hRule="auto"/>
        </w:trPr>
        body24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22–28 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1.30 (0.61, 2.76)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1.30 (0.61, 2.74)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1.44 (0.74, 2.74)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0.855</w:t>
            </w:r>
          </w:p>
        </w:tc>
      </w:tr>
    </w:tbl>
    <w:p>
      <w:pPr>
        <w:pStyle w:val="Normal"/>
      </w:pPr>
      <w:r>
        <w:t xml:space="preserve">Within-window cumulative OR estimates for the primary 6-variable case-crossover DLNM. Windows are non-overlapping weekly bins (0-7, 8-14, 15-21, 22-28 d before the case day). For each predictor and window, the cumulative effect is computed by integrating the lag-response over the window at a constant +0.5 SD exposure. Frequentist OR with 95% Wald CI; Bayesian medians with 95% credible intervals under (a) flat prior (asymptotic MVN approximation) and (b) weakly informative N(0, 0.3) prior on each crossbasis coefficient. P(&gt;0) is the posterior probability that the cumulative log-OR within the window exceeds zero.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2026-05-14T15:14:28Z</dcterms:modified>
  <cp:category/>
</cp:coreProperties>
</file>