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89"/>
        <w:gridCol w:w="2740"/>
        <w:gridCol w:w="2740"/>
        <w:gridCol w:w="2740"/>
        <w:gridCol w:w="2740"/>
      </w:tblGrid>
      <w:tr>
        <w:trPr>
          <w:trHeight w:val="559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0–7 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8–14 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15–21 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22–28 d</w:t>
            </w:r>
          </w:p>
        </w:tc>
      </w:tr>
      <w:tr>
        <w:trPr>
          <w:trHeight w:val="597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Anseriformes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0.96 (0.55, 1.66), P=0.442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0.77 (0.36, 1.65), P=0.249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2.11 (0.81, 5.46), P=0.942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1.44 (0.74, 2.74), P=0.855</w:t>
            </w:r>
          </w:p>
        </w:tc>
      </w:tr>
      <w:tr>
        <w:trPr>
          <w:trHeight w:val="597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1.23 (0.70, 2.17), P=0.768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0.86 (0.54, 1.37), P=0.268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0.90 (0.58, 1.37), P=0.310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1.28 (0.84, 1.96), P=0.877</w:t>
            </w:r>
          </w:p>
        </w:tc>
      </w:tr>
      <w:tr>
        <w:trPr>
          <w:trHeight w:val="597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Runoff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0.97 (0.56, 1.67), P=0.454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1.14 (0.81, 1.61), P=0.774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1.13 (0.80, 1.59), P=0.752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0.96 (0.65, 1.42), P=0.410</w:t>
            </w:r>
          </w:p>
        </w:tc>
      </w:tr>
      <w:tr>
        <w:trPr>
          <w:trHeight w:val="597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1.24 (0.66, 2.36), P=0.744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1.02 (0.71, 1.48), P=0.544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0.87 (0.61, 1.26), P=0.236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0.75 (0.46, 1.21), P=0.116</w:t>
            </w:r>
          </w:p>
        </w:tc>
      </w:tr>
      <w:tr>
        <w:trPr>
          <w:trHeight w:val="597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1.23 (0.76, 2.02), P=0.809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1.14 (0.78, 1.67), P=0.755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1.11 (0.80, 1.57), P=0.731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1.11 (0.62, 1.99), P=0.643</w:t>
            </w:r>
          </w:p>
        </w:tc>
      </w:tr>
      <w:tr>
        <w:trPr>
          <w:trHeight w:val="600" w:hRule="auto"/>
        </w:trPr>
        body6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Wind Speed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0.69 (0.42, 1.14), P=0.074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1.22 (0.77, 1.98), P=0.802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1.39 (0.87, 2.25), P=0.915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1.12 (0.73, 1.73), P=0.701</w:t>
            </w:r>
          </w:p>
        </w:tc>
      </w:tr>
    </w:tbl>
    <w:p>
      <w:pPr>
        <w:pStyle w:val="Normal"/>
      </w:pPr>
      <w:r>
        <w:t xml:space="preserve">Bayesian posterior summaries for within-window cumulative effects (per +0.5 SD) from the time-stratified daily case-crossover DLNM under a weakly informative N(0, 0.3) prior on each crossbasis coefficient. Cells report posterior median odds ratio with 95% credible interval and the posterior probability that the cumulative log-OR within the window exceeds zero. P &gt; 0.95 or P &lt; 0.05 indicates strong directional evidence; 0.90 &lt; P &lt; 0.95 or 0.05 &lt; P &lt; 0.10 indicates moderate directional evidence.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fmooney</cp:lastModifiedBy>
  <cp:revision>9</cp:revision>
  <dcterms:created xsi:type="dcterms:W3CDTF">2017-02-28T11:18:00Z</dcterms:created>
  <dcterms:modified xsi:type="dcterms:W3CDTF">2026-05-14T15:14:28Z</dcterms:modified>
  <cp:category/>
</cp:coreProperties>
</file>