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2025"/>
        <w:gridCol w:w="2025"/>
        <w:gridCol w:w="2025"/>
        <w:gridCol w:w="2025"/>
        <w:gridCol w:w="2025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 (95% CrI)</w:t>
            </w:r>
          </w:p>
        </w:tc>
      </w:tr>
      <w:tr>
        <w:trPr>
          <w:trHeight w:val="618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1.08 (1.03, 1.14)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1.07 (1.03, 1.11)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1.06 (1.03, 1.09)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1.04 (1.01, 1.08)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(0.99, 1.08)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(0.93,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(1.00,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1.05 (1.01,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1.07 (1.02, 1.13)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1.14 (1.02,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1.08 (1.02,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(0.98,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(0.90,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 (0.81, 1.04)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0.91 (0.86,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0.91 (0.87,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0.91 (0.88,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0.91 (0.87,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0.91 (0.86, 0.97)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(0.93,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(0.95,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(0.97,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(0.97, 1.08)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(0.98,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(0.99,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(0.95, 1.02)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(0.70, 1.37)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 (0.80, 1.43)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 (0.88, 1.58)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1.46 (1.11, 1.92)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1.66 (1.22, 2.25)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2026-08-27T13:25:31Z</dcterms:modified>
  <cp:category/>
</cp:coreProperties>
</file>