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Table S9. Meteorological effect by waterfowl abundance two to four weeks earlier, by panel</w:t>
      </w:r>
    </w:p>
    <w:tbl xmlns:a="http://schemas.openxmlformats.org/drawingml/2006/main" xmlns:pic="http://schemas.openxmlformats.org/drawingml/2006/picture">
      <w:tblPr>
        <w:tblLayout w:type="fixed"/>
        <w:jc w:val="center"/>
        <w:tblLook w:firstRow="1" w:lastRow="0" w:firstColumn="0" w:lastColumn="0" w:noHBand="0" w:noVBand="1"/>
      </w:tblPr>
      <w:tblGrid>
        <w:gridCol w:w="1159"/>
        <w:gridCol w:w="1080"/>
        <w:gridCol w:w="1080"/>
        <w:gridCol w:w="1080"/>
        <w:gridCol w:w="1080"/>
        <w:gridCol w:w="1080"/>
        <w:gridCol w:w="1080"/>
        <w:gridCol w:w="1080"/>
        <w:gridCol w:w="1080"/>
        <w:gridCol w:w="1080"/>
        <w:gridCol w:w="1080"/>
        <w:gridCol w:w="1080"/>
        <w:gridCol w:w="1080"/>
      </w:tblGrid>
      <w:tr>
        <w:trPr>
          <w:trHeight w:val="125" w:hRule="auto"/>
          <w:tblHeader/>
        </w:trPr>
        header 1
        <w:tc>
          <w:tcPr>
            <w:tcBorders>
              <w:bottom w:val="single" w:sz="12" w:space="0" w:color="666666"/>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0-7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8-14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0-14 days, cumulative</w:t>
            </w:r>
          </w:p>
        </w:tc>
      </w:tr>
      <w:tr>
        <w:trPr>
          <w:trHeight w:val="125"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r>
      <w:tr>
        <w:trPr>
          <w:trHeight w:val="12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90-day shock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(0.37,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2.01 (0.92,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0.39 (0.13,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(0.60,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(0.52,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(0.46,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(0.31,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2.13 (0.69,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0.45 (0.10,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12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(0.70,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(0.40,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1.70 (0.76,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1.54 (0.73,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0.26 (0.11, 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5.87 (2.13, 16.91)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2.09 (0.66, 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0.21 (0.07,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9.90 (2.47, 40.27)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(0.85,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(0.72,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(0.65,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1.93 (1.23, 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0.47 (0.28,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4.12 (2.15,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2.59 (1.35, 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 (0.27,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4.71 (2.18, 10.43)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(0.52,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(0.75,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 (0.34,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0.43 (0.28,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(0.92,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0.31 (0.15,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0.33 (0.17,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1.62 (0.84, 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0.20 (0.07,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(0.59,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(0.47,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(0.50,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(0.65,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(0.55,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(0.42, 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(0.45,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(0.31,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(0.26,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r>
      <w:tr>
        <w:trPr>
          <w:trHeight w:val="12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(0.70,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(0.66,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(0.59,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0.66 (0.47,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(0.82,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0.58 (0.33,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0.61 (0.39,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(0.63,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 (0.26,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r>
      <w:tr>
        <w:trPr>
          <w:trHeight w:val="1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(0.47,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(0.65,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(0.37,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 (0.45,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(0.72,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0.63 (0.33,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0.52 (0.28,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(0.64,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0.46 (0.19,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r>
      <w:tr>
        <w:trPr>
          <w:trHeight w:val="12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(0.64,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0.62 (0.41,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1.53 (0.88,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(0.52,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 (0.41,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(0.65,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(0.42,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0.41 (0.21, 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1.89 (0.81,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r>
      <w:tr>
        <w:trPr>
          <w:trHeight w:val="12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(0.72,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0.71 (0.51,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(0.85,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(0.61,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(0.65,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(0.59,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(0.53,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0.64 (0.42,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(0.72,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r>
      <w:tr>
        <w:trPr>
          <w:trHeight w:val="1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(0.68,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(0.65,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(0.77,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(0.87,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(0.50,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(0.57,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(0.65,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(0.39,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r>
      <w:tr>
        <w:trPr>
          <w:trHeight w:val="12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(0.73,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(0.77,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(0.56,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(0.60,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(0.97,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 (0.35,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(0.49,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1.59 (0.86,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 (0.24,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r>
      <w:tr>
        <w:trPr>
          <w:trHeight w:val="12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(0.82,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(0.68,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(0.87,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1.31 (1.03,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(0.59,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(0.73,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(0.93,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r>
      <w:tr>
        <w:trPr>
          <w:trHeight w:val="1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(0.84,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(0.51,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1.75 (0.88,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2.37 (1.37,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(0.57,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2.43 (1.06, 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3.27 (1.35, 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(0.34,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4.25 (1.13, 16.37)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r>
      <w:tr>
        <w:trPr>
          <w:trHeight w:val="12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(0.61,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(0.54,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(0.54,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(0.58,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(0.49,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(0.37,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(0.36,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(0.39,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r>
      <w:tr>
        <w:trPr>
          <w:trHeight w:val="125" w:hRule="auto"/>
        </w:trPr>
        body21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(0.78, 1.51)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(0.58, 1.07)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1.37 (0.84, 2.22)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(0.95, 1.91)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(0.78, 1.47)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(0.77, 2.11)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1.46 (0.84, 2.56)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(0.53, 1.37)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1.71 (0.80, 3.68)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r>
      <w:tr>
        <w:trPr>
          <w:trHeight w:val="121" w:hRule="auto"/>
        </w:trPr>
        body22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Absolute conditions</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(0.66,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(0.74,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(0.35,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(0.52,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0.59 (0.29,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1.93 (0.66, 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1.44 (0.52, 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(0.33,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1.80 (0.50, 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r>
      <w:tr>
        <w:trPr>
          <w:trHeight w:val="125"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(0.50,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1.65 (1.01,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0.49 (0.25,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(0.67,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0.62 (0.38,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1.82 (0.90,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(0.45,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(0.59,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(0.46,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r>
      <w:tr>
        <w:trPr>
          <w:trHeight w:val="125"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(0.58,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1.92 (1.25,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0.45 (0.25,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(0.78,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0.53 (0.35,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2.25 (1.27,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(0.58,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(0.65,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(0.57,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0.51</w:t>
            </w:r>
          </w:p>
        </w:tc>
      </w:tr>
      <w:tr>
        <w:trPr>
          <w:trHeight w:val="125"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(0.47,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(0.54,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(0.25,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0.55 (0.31,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(0.55,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0.49 (0.18,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0.49 (0.18,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(0.39,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0.38 (0.07,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(0.58,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 (0.36,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1.59 (0.64,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(0.43,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(0.41,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(0.44,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(0.30,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0.54 (0.18,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1.56 (0.40,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0.74</w:t>
            </w:r>
          </w:p>
        </w:tc>
      </w:tr>
      <w:tr>
        <w:trPr>
          <w:trHeight w:val="125"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(0.70,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(0.49,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1.33 (0.64,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0.67 (0.45,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(0.52,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(0.37,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(0.32,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(0.36,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r>
      <w:tr>
        <w:trPr>
          <w:trHeight w:val="121"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(0.43,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(0.39,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(0.40,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(0.40,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1.30 (0.57,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0.64 (0.27,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(0.24,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(0.33,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 (0.23,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r>
      <w:tr>
        <w:trPr>
          <w:trHeight w:val="125"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(0.61,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(0.44,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(0.63,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1.69 (0.89,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(0.42,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1.96 (0.88,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1.94 (0.75,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(0.25,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2.62 (1.06, 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r>
      <w:tr>
        <w:trPr>
          <w:trHeight w:val="125"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(0.63,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(0.50,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(0.61,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1.28 (0.78,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(0.60,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(0.65,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(0.64,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(0.43,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1.37 (0.73,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r>
      <w:tr>
        <w:trPr>
          <w:trHeight w:val="125"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(0.47,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(0.55,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(0.63,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(0.65,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(0.40,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(0.33,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(0.41,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(0.19,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r>
      <w:tr>
        <w:trPr>
          <w:trHeight w:val="125"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(0.73,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(0.63,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(0.67,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(0.81,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(0.47,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1.61 (0.96,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1.33 (0.67,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(0.35,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1.76 (0.84,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r>
      <w:tr>
        <w:trPr>
          <w:trHeight w:val="125"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(0.70,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(0.65,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(0.70,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(0.90,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1.31 (0.86,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(0.70,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(0.48,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(0.75, 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121"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(0.51,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(0.36,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(0.44, 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1.63 (0.73,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(0.28,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2.36 (0.68,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1.76 (0.44, 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 (0.12,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3.28 (0.38, 24.28)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5"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(0.33, 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(0.35,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(0.23,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(0.28,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(0.27, 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(0.18, 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(0.12, 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(0.11, 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(0.05, 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r>
      <w:tr>
        <w:trPr>
          <w:trHeight w:val="125" w:hRule="auto"/>
        </w:trPr>
        body42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(0.55, 1.99)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 (0.39, 1.66)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(0.50, 3.16)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(0.72, 2.76)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(0.34, 1.64)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1.85 (0.73, 4.89)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1.46 (0.49, 4.36)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0.64 (0.16, 2.22)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2.33 (0.49, 11.81)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360" w:hRule="auto"/>
        </w:trPr>
        footer 1
        <w:tc>
          <w:tcPr>
            <w:gridSpan w:val="13"/>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Post hoc analysis. The meteorological crossbasis (lag 0-14 days) is multiplied by the standardised Anseriformes abundance at lag 15-28 days, centred within stratum, so the interaction is continuous and the two windows do not overlap; effects are shown at +1 SD (high) and -1 SD (low) of that modifier. Lag bins are estimated independently (strata basis, break at day 8); the 0-14 day column is their cumulative, from the same posterior. Ratio is high divided by low. Same prior as the primary model. Estimates and P(dir) come from 4,000 draws of the joint posterior.</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2026-09-15T16:43:29Z</dcterms:modified>
  <cp:category/>
</cp:coreProperties>
</file>