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S3a. Sensitivity to the lag structure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79"/>
        <w:gridCol w:w="1080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(0.68, 1.35)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(0.87, 1.41)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(0.60, 1.12)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(0.89, 1.33)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1.51 (1.28,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(0.76,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(0.70,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(0.89,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(0.94,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0.58 (0.39, 0.87)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2.13 (1.39, 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(0.85,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(0.81,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(0.61,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(0.69,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(0.78,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(0.81,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(0.68,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(0.82,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0.66 (0.48,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(1.07,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2.09 (1.49, 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(0.79,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(0.78,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(0.74, 1.66)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0.76 (0.60,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1.32 (1.01, 1.72)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(0.75,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(0.77,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(0.69,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(0.58, 1.09)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(0.77,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(0.94,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(0.85, 1.26)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 (0.52,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1.49 (1.15,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2.02 (1.39, 2.95)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(0.80,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(0.77,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(0.67,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(0.75, 1.67)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(0.66,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0.74 (0.58,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(0.67,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(0.99, 1.67)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(0.75,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(0.60, 1.11)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(0.91,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(0.84, 1.22)</w:t>
            </w:r>
          </w:p>
        </w:tc>
      </w:tr>
      <w:tr>
        <w:trPr>
          <w:trHeight w:val="401" w:hRule="auto"/>
        </w:trPr>
        body31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 (0.48, 1.15)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(0.85, 1.85)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 (0.87, 1.90)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2.09 (1.41, 3.11)</w:t>
            </w:r>
          </w:p>
        </w:tc>
      </w:tr>
      <w:tr>
        <w:trPr>
          <w:trHeight w:val="399" w:hRule="auto"/>
        </w:trPr>
        body32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(0.84, 1.38)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(0.87, 1.11)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0.87 (0.79,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1.06)</w:t>
            </w:r>
          </w:p>
        </w:tc>
      </w:tr>
      <w:tr>
        <w:trPr>
          <w:trHeight w:val="40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(0.83, 1.07)</w:t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1.56 (1.34,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 (0.98,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(0.96,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(0.78,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(1.00,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1.20 (1.06,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0.61 (0.41,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2.48 (1.62, 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(0.88,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(0.98,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(0.93,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(0.85,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0.83 (0.71,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(0.78,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(1.01,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1.12 (1.02,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(0.96,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0.64 (0.45, 0.90)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1.33 (1.16,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2.52 (1.79, 3.54)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(0.88,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 (0.95,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(0.93,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(0.78, 1.34)</w:t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(0.78,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1.20)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0.85 (0.76,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0.88 (0.78,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(0.81, 1.10)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(1.04,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(0.98,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(0.90,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(1.22, 2.01)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(1.44, 3.08)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(0.88,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 (0.94,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(0.91,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1.41)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(0.90, 1.21)</w:t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(0.71,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0.84 (0.73,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1.13)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1.20 (1.05,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(0.78, 1.04)</w:t>
            </w:r>
          </w:p>
        </w:tc>
      </w:tr>
      <w:tr>
        <w:trPr>
          <w:trHeight w:val="401" w:hRule="auto"/>
        </w:trPr>
        body62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(0.49, 1.19)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1.33 (0.89, 1.99)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(0.92, 2.00)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2.21 (1.47, 3.33)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dWAIC is relative to the selected specification within each model; negative is better. Shown on the specification row because it belongs to the fit, not to an individual exposure. A dash marks a lag window outside that specification's range. Rate ratios are per +0.5 SD of the exposure summed over the lag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2026-09-11T19:27:17Z</dcterms:modified>
  <cp:category/>
</cp:coreProperties>
</file>