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S8. Distribution of the 90-day departure exposures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86"/>
        <w:gridCol w:w="1195"/>
        <w:gridCol w:w="1129"/>
        <w:gridCol w:w="1195"/>
        <w:gridCol w:w="1195"/>
        <w:gridCol w:w="1485"/>
      </w:tblGrid>
      <w:tr>
        <w:trPr>
          <w:trHeight w:val="438" w:hRule="auto"/>
          <w:tblHeader/>
        </w:trPr>
        header1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Winter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Spring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Seasonal R²</w:t>
            </w:r>
          </w:p>
        </w:tc>
      </w:tr>
      <w:tr>
        <w:trPr>
          <w:trHeight w:val="43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 90-day departure (°C)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-8.7 (6.3)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8.8 (3.7)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 (4.5)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-7.3 (4.6)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</w:t>
            </w:r>
          </w:p>
        </w:tc>
      </w:tr>
      <w:tr>
        <w:trPr>
          <w:trHeight w:val="43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90-day departure (% vs baseline)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 (46)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 (50)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</w:t>
            </w:r>
          </w:p>
        </w:tc>
      </w:tr>
      <w:tr>
        <w:trPr>
          <w:trHeight w:val="43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 90-day departure (% volumetric)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-4.4 (4.6)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</w:t>
            </w:r>
          </w:p>
        </w:tc>
      </w:tr>
      <w:tr>
        <w:trPr>
          <w:trHeight w:val="438" w:hRule="auto"/>
        </w:trPr>
        body4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 90-day departure (m/s)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 (0.7)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 (0.7)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 (0.6)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departure = mean of the last 7 days minus the mean of the preceding 90. Seasonal R-squared is the share of each departure explained by day-of-year alone; temperature is largely a measure of seasonal transition rather than weather.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2026-09-11T19:27:12Z</dcterms:modified>
  <cp:category/>
</cp:coreProperties>
</file>