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AI-Assisted Personal Investment App</w:t>
      </w:r>
      <w:r>
        <w:rPr>
          <w:b/>
          <w:sz w:val="32"/>
        </w:rPr>
        <w:br/>
        <w:t>Step 3 — Company Archetype &amp; Candidate Thread Framework</w:t>
      </w:r>
    </w:p>
    <w:p>
      <w:pPr>
        <w:jc w:val="center"/>
      </w:pPr>
      <w:r>
        <w:t>Version 1.0 · 2026-09-24 · Frozen for implementation planning</w:t>
      </w:r>
    </w:p>
    <w:p>
      <w:pPr>
        <w:pStyle w:val="Heading1"/>
      </w:pPr>
      <w:r>
        <w:t>1. Purpose</w:t>
      </w:r>
    </w:p>
    <w:p>
      <w:r>
        <w:t>Step 3 defines the first reusable Company Archetype and Candidate Persistent Thread framework for the MVP. The framework is a starting research map, not a universal checklist.</w:t>
      </w:r>
    </w:p>
    <w:p>
      <w:r>
        <w:t>Company Archetype → Candidate Thread Framework → Company-specific Persistent Threads → Dynamic lifecycle</w:t>
      </w:r>
    </w:p>
    <w:p>
      <w:pPr>
        <w:pStyle w:val="Heading1"/>
      </w:pPr>
      <w:r>
        <w:t>2. Core Design Principle</w:t>
      </w:r>
    </w:p>
    <w:p>
      <w:r>
        <w:t>Different company types have different persistent research themes. However, archetype determines only the candidate framework; the specific company and current investment logic determine the actual Threads.</w:t>
      </w:r>
    </w:p>
    <w:p>
      <w:pPr>
        <w:pStyle w:val="ListBullet"/>
      </w:pPr>
      <w:r>
        <w:t>Candidate Threads are optional.</w:t>
      </w:r>
    </w:p>
    <w:p>
      <w:pPr>
        <w:pStyle w:val="ListBullet"/>
      </w:pPr>
      <w:r>
        <w:t>Persistent Threads are company-specific.</w:t>
      </w:r>
    </w:p>
    <w:p>
      <w:pPr>
        <w:pStyle w:val="ListBullet"/>
      </w:pPr>
      <w:r>
        <w:t>Importance changes over time.</w:t>
      </w:r>
    </w:p>
    <w:p>
      <w:pPr>
        <w:pStyle w:val="ListBullet"/>
      </w:pPr>
      <w:r>
        <w:t>Short-lived topics do not need persistence.</w:t>
      </w:r>
    </w:p>
    <w:p>
      <w:pPr>
        <w:pStyle w:val="Heading1"/>
      </w:pPr>
      <w:r>
        <w:t>3. Archetype 1 — Retail / Consumer</w:t>
      </w:r>
    </w:p>
    <w:p>
      <w:r>
        <w:t>Typical economics: consumer demand monetized through stores, e-commerce, brands, memberships, advertising, or consumer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Candidate Thread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What it tracks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Typical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Core Retail Economics</w:t>
            </w:r>
          </w:p>
        </w:tc>
        <w:tc>
          <w:tcPr>
            <w:tcW w:type="dxa" w:w="3408"/>
            <w:vAlign w:val="center"/>
          </w:tcPr>
          <w:p>
            <w:r>
              <w:t>Traffic, pricing, basket, same-store sales, unit economics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Consumer Mix</w:t>
            </w:r>
          </w:p>
        </w:tc>
        <w:tc>
          <w:tcPr>
            <w:tcW w:type="dxa" w:w="3408"/>
            <w:vAlign w:val="center"/>
          </w:tcPr>
          <w:p>
            <w:r>
              <w:t>Trade-down/up, income cohorts, category mix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Margin Structure</w:t>
            </w:r>
          </w:p>
        </w:tc>
        <w:tc>
          <w:tcPr>
            <w:tcW w:type="dxa" w:w="3408"/>
            <w:vAlign w:val="center"/>
          </w:tcPr>
          <w:p>
            <w:r>
              <w:t>Gross margin, shrink, labor, mix, operating leverage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E-commerce Economics</w:t>
            </w:r>
          </w:p>
        </w:tc>
        <w:tc>
          <w:tcPr>
            <w:tcW w:type="dxa" w:w="3408"/>
            <w:vAlign w:val="center"/>
          </w:tcPr>
          <w:p>
            <w:r>
              <w:t>Digital growth, fulfillment economics, profitability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Advertising / Marketplace</w:t>
            </w:r>
          </w:p>
        </w:tc>
        <w:tc>
          <w:tcPr>
            <w:tcW w:type="dxa" w:w="3408"/>
            <w:vAlign w:val="center"/>
          </w:tcPr>
          <w:p>
            <w:r>
              <w:t>Higher-margin monetization layer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Store Network / Distribution</w:t>
            </w:r>
          </w:p>
        </w:tc>
        <w:tc>
          <w:tcPr>
            <w:tcW w:type="dxa" w:w="3408"/>
            <w:vAlign w:val="center"/>
          </w:tcPr>
          <w:p>
            <w:r>
              <w:t>Density, convenience, fulfillment advantage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Membership Economics</w:t>
            </w:r>
          </w:p>
        </w:tc>
        <w:tc>
          <w:tcPr>
            <w:tcW w:type="dxa" w:w="3408"/>
            <w:vAlign w:val="center"/>
          </w:tcPr>
          <w:p>
            <w:r>
              <w:t>Members, renewal, fee income, engagement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International Expansion</w:t>
            </w:r>
          </w:p>
        </w:tc>
        <w:tc>
          <w:tcPr>
            <w:tcW w:type="dxa" w:w="3408"/>
            <w:vAlign w:val="center"/>
          </w:tcPr>
          <w:p>
            <w:r>
              <w:t>Geography-specific growth and economics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Capital Allocation</w:t>
            </w:r>
          </w:p>
        </w:tc>
        <w:tc>
          <w:tcPr>
            <w:tcW w:type="dxa" w:w="3408"/>
            <w:vAlign w:val="center"/>
          </w:tcPr>
          <w:p>
            <w:r>
              <w:t>Buybacks, dividends, capex, M&amp;A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Brand / Product Power</w:t>
            </w:r>
          </w:p>
        </w:tc>
        <w:tc>
          <w:tcPr>
            <w:tcW w:type="dxa" w:w="3408"/>
            <w:vAlign w:val="center"/>
          </w:tcPr>
          <w:p>
            <w:r>
              <w:t>Pricing power, brand strength, category leadership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</w:tbl>
    <w:p>
      <w:r>
        <w:t>Usually not persistent by default: one-week promotions, one viral story, one isolated weather event, one unusual inventory issue unless structural, or short-term stock-price volatility without a business mechanism.</w:t>
      </w:r>
    </w:p>
    <w:p>
      <w:r>
        <w:t>Example — Walmart actual Threads could be Core Retail Economics, Advertising / Marketplace, E-commerce Economics, Store Network, Sam’s Club / Membership Economics, and Consumer Mix. A temporary tariff concern can remain Ephemeral unless it changes a durable earnings mechanism.</w:t>
      </w:r>
    </w:p>
    <w:p>
      <w:pPr>
        <w:pStyle w:val="Heading1"/>
      </w:pPr>
      <w:r>
        <w:t>4. Archetype 2 — Semiconductor / AI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Candidate Thread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What it tracks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Typical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 Cycle / Roadmap</w:t>
            </w:r>
          </w:p>
        </w:tc>
        <w:tc>
          <w:tcPr>
            <w:tcW w:type="dxa" w:w="3408"/>
            <w:vAlign w:val="center"/>
          </w:tcPr>
          <w:p>
            <w:r>
              <w:t>Node, launches, refresh cycle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TAM / Demand Cycle</w:t>
            </w:r>
          </w:p>
        </w:tc>
        <w:tc>
          <w:tcPr>
            <w:tcW w:type="dxa" w:w="3408"/>
            <w:vAlign w:val="center"/>
          </w:tcPr>
          <w:p>
            <w:r>
              <w:t>End-market demand and secular growth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 Concentration</w:t>
            </w:r>
          </w:p>
        </w:tc>
        <w:tc>
          <w:tcPr>
            <w:tcW w:type="dxa" w:w="3408"/>
            <w:vAlign w:val="center"/>
          </w:tcPr>
          <w:p>
            <w:r>
              <w:t>Major customers, hyperscalers, OEMs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Design Wins / Content</w:t>
            </w:r>
          </w:p>
        </w:tc>
        <w:tc>
          <w:tcPr>
            <w:tcW w:type="dxa" w:w="3408"/>
            <w:vAlign w:val="center"/>
          </w:tcPr>
          <w:p>
            <w:r>
              <w:t>Adoption, sockets, platform penetration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/ Accelerator Exposure</w:t>
            </w:r>
          </w:p>
        </w:tc>
        <w:tc>
          <w:tcPr>
            <w:tcW w:type="dxa" w:w="3408"/>
            <w:vAlign w:val="center"/>
          </w:tcPr>
          <w:p>
            <w:r>
              <w:t>AI-driven compute demand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 ASIC / Substitution</w:t>
            </w:r>
          </w:p>
        </w:tc>
        <w:tc>
          <w:tcPr>
            <w:tcW w:type="dxa" w:w="3408"/>
            <w:vAlign w:val="center"/>
          </w:tcPr>
          <w:p>
            <w:r>
              <w:t>ASIC vs GPU / merchant silicon dynamics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Networking / Interconnect</w:t>
            </w:r>
          </w:p>
        </w:tc>
        <w:tc>
          <w:tcPr>
            <w:tcW w:type="dxa" w:w="3408"/>
            <w:vAlign w:val="center"/>
          </w:tcPr>
          <w:p>
            <w:r>
              <w:t>Bandwidth, switching, optical, fabric demand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Gross Margin Structure</w:t>
            </w:r>
          </w:p>
        </w:tc>
        <w:tc>
          <w:tcPr>
            <w:tcW w:type="dxa" w:w="3408"/>
            <w:vAlign w:val="center"/>
          </w:tcPr>
          <w:p>
            <w:r>
              <w:t>Mix, pricing, utilization, product economics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Capex / Supply Constraints</w:t>
            </w:r>
          </w:p>
        </w:tc>
        <w:tc>
          <w:tcPr>
            <w:tcW w:type="dxa" w:w="3408"/>
            <w:vAlign w:val="center"/>
          </w:tcPr>
          <w:p>
            <w:r>
              <w:t>Manufacturing, capacity, lead times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Competition / Technology Risk</w:t>
            </w:r>
          </w:p>
        </w:tc>
        <w:tc>
          <w:tcPr>
            <w:tcW w:type="dxa" w:w="3408"/>
            <w:vAlign w:val="center"/>
          </w:tcPr>
          <w:p>
            <w:r>
              <w:t>Rivals and technology transitions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</w:tbl>
    <w:p>
      <w:r>
        <w:t>Usually not persistent by default: one benchmark, one customer rumor without evidence, one temporary supply interruption, or one earnings-day price reaction.</w:t>
      </w:r>
    </w:p>
    <w:p>
      <w:r>
        <w:t>Example — Marvell actual Threads could be Custom ASIC, Hyperscaler Design Wins, AI Networking / Interconnect, Data-center Demand, Gross Margin / Mix, and Customer Concentration.</w:t>
      </w:r>
    </w:p>
    <w:p>
      <w:pPr>
        <w:pStyle w:val="Heading1"/>
      </w:pPr>
      <w:r>
        <w:t>5. Archetype 3 — Platform / Internet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Candidate Thread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What it tracks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Typical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/ Engagement Engine</w:t>
            </w:r>
          </w:p>
        </w:tc>
        <w:tc>
          <w:tcPr>
            <w:tcW w:type="dxa" w:w="3408"/>
            <w:vAlign w:val="center"/>
          </w:tcPr>
          <w:p>
            <w:r>
              <w:t>MAU, DAU, engagement, retention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Monetization</w:t>
            </w:r>
          </w:p>
        </w:tc>
        <w:tc>
          <w:tcPr>
            <w:tcW w:type="dxa" w:w="3408"/>
            <w:vAlign w:val="center"/>
          </w:tcPr>
          <w:p>
            <w:r>
              <w:t>ARPU, ad load, pricing, subscription economics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Network Effects</w:t>
            </w:r>
          </w:p>
        </w:tc>
        <w:tc>
          <w:tcPr>
            <w:tcW w:type="dxa" w:w="3408"/>
            <w:vAlign w:val="center"/>
          </w:tcPr>
          <w:p>
            <w:r>
              <w:t>Liquidity, seller/buyer density, ecosystem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Unit Economics</w:t>
            </w:r>
          </w:p>
        </w:tc>
        <w:tc>
          <w:tcPr>
            <w:tcW w:type="dxa" w:w="3408"/>
            <w:vAlign w:val="center"/>
          </w:tcPr>
          <w:p>
            <w:r>
              <w:t>CAC, contribution margin, take rate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/ Product Disruption</w:t>
            </w:r>
          </w:p>
        </w:tc>
        <w:tc>
          <w:tcPr>
            <w:tcW w:type="dxa" w:w="3408"/>
            <w:vAlign w:val="center"/>
          </w:tcPr>
          <w:p>
            <w:r>
              <w:t>AI impact on product and economics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Search / Discovery / Distribution</w:t>
            </w:r>
          </w:p>
        </w:tc>
        <w:tc>
          <w:tcPr>
            <w:tcW w:type="dxa" w:w="3408"/>
            <w:vAlign w:val="center"/>
          </w:tcPr>
          <w:p>
            <w:r>
              <w:t>Traffic and demand capture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Advertising Economics</w:t>
            </w:r>
          </w:p>
        </w:tc>
        <w:tc>
          <w:tcPr>
            <w:tcW w:type="dxa" w:w="3408"/>
            <w:vAlign w:val="center"/>
          </w:tcPr>
          <w:p>
            <w:r>
              <w:t>Ad demand, targeting, pricing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Cloud / Infrastructure Economics</w:t>
            </w:r>
          </w:p>
        </w:tc>
        <w:tc>
          <w:tcPr>
            <w:tcW w:type="dxa" w:w="3408"/>
            <w:vAlign w:val="center"/>
          </w:tcPr>
          <w:p>
            <w:r>
              <w:t>Consumption, margins, capex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Competitive Position</w:t>
            </w:r>
          </w:p>
        </w:tc>
        <w:tc>
          <w:tcPr>
            <w:tcW w:type="dxa" w:w="3408"/>
            <w:vAlign w:val="center"/>
          </w:tcPr>
          <w:p>
            <w:r>
              <w:t>Rivals, switching, bundling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Regulation / Policy</w:t>
            </w:r>
          </w:p>
        </w:tc>
        <w:tc>
          <w:tcPr>
            <w:tcW w:type="dxa" w:w="3408"/>
            <w:vAlign w:val="center"/>
          </w:tcPr>
          <w:p>
            <w:r>
              <w:t>Structural regulatory exposure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Capital Allocation</w:t>
            </w:r>
          </w:p>
        </w:tc>
        <w:tc>
          <w:tcPr>
            <w:tcW w:type="dxa" w:w="3408"/>
            <w:vAlign w:val="center"/>
          </w:tcPr>
          <w:p>
            <w:r>
              <w:t>Buybacks, M&amp;A, capex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</w:tbl>
    <w:p>
      <w:r>
        <w:t>Usually not persistent by default: one viral feature, one temporary traffic spike, one app-store ranking change, one competitor announcement without durable strategic implication, or social-media sentiment.</w:t>
      </w:r>
    </w:p>
    <w:p>
      <w:r>
        <w:t>Example — Google actual Threads could be Search Monetization, AI Search / Gemini, Cloud Growth &amp; Margin, YouTube Monetization, AI Capex / Return on Investment, and Competitive Position.</w:t>
      </w:r>
    </w:p>
    <w:p>
      <w:pPr>
        <w:pStyle w:val="Heading1"/>
      </w:pPr>
      <w:r>
        <w:t>6. Archetype 4 — Mobility /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Candidate Thread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What it tracks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Typical persistence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Demand / Trips</w:t>
            </w:r>
          </w:p>
        </w:tc>
        <w:tc>
          <w:tcPr>
            <w:tcW w:type="dxa" w:w="3408"/>
            <w:vAlign w:val="center"/>
          </w:tcPr>
          <w:p>
            <w:r>
              <w:t>Bookings, trips, gross bookings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Take Rate / Monetization</w:t>
            </w:r>
          </w:p>
        </w:tc>
        <w:tc>
          <w:tcPr>
            <w:tcW w:type="dxa" w:w="3408"/>
            <w:vAlign w:val="center"/>
          </w:tcPr>
          <w:p>
            <w:r>
              <w:t>Platform share and pricing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Supply Economics</w:t>
            </w:r>
          </w:p>
        </w:tc>
        <w:tc>
          <w:tcPr>
            <w:tcW w:type="dxa" w:w="3408"/>
            <w:vAlign w:val="center"/>
          </w:tcPr>
          <w:p>
            <w:r>
              <w:t>Driver/provider supply and earnings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Network Effects</w:t>
            </w:r>
          </w:p>
        </w:tc>
        <w:tc>
          <w:tcPr>
            <w:tcW w:type="dxa" w:w="3408"/>
            <w:vAlign w:val="center"/>
          </w:tcPr>
          <w:p>
            <w:r>
              <w:t>Marketplace liquidity and density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Unit Economics</w:t>
            </w:r>
          </w:p>
        </w:tc>
        <w:tc>
          <w:tcPr>
            <w:tcW w:type="dxa" w:w="3408"/>
            <w:vAlign w:val="center"/>
          </w:tcPr>
          <w:p>
            <w:r>
              <w:t>Contribution margin, incentive intensity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Multi-product Cross-sell</w:t>
            </w:r>
          </w:p>
        </w:tc>
        <w:tc>
          <w:tcPr>
            <w:tcW w:type="dxa" w:w="3408"/>
            <w:vAlign w:val="center"/>
          </w:tcPr>
          <w:p>
            <w:r>
              <w:t>Mobility, delivery, adjacent products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Autonomous / New Technology</w:t>
            </w:r>
          </w:p>
        </w:tc>
        <w:tc>
          <w:tcPr>
            <w:tcW w:type="dxa" w:w="3408"/>
            <w:vAlign w:val="center"/>
          </w:tcPr>
          <w:p>
            <w:r>
              <w:t>Robotaxi, automation, replacement risk</w:t>
            </w:r>
          </w:p>
        </w:tc>
        <w:tc>
          <w:tcPr>
            <w:tcW w:type="dxa" w:w="3408"/>
            <w:vAlign w:val="center"/>
          </w:tcPr>
          <w:p>
            <w:r>
              <w:t>Medium–High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Regulation</w:t>
            </w:r>
          </w:p>
        </w:tc>
        <w:tc>
          <w:tcPr>
            <w:tcW w:type="dxa" w:w="3408"/>
            <w:vAlign w:val="center"/>
          </w:tcPr>
          <w:p>
            <w:r>
              <w:t>Labor, safety, licensing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Competition</w:t>
            </w:r>
          </w:p>
        </w:tc>
        <w:tc>
          <w:tcPr>
            <w:tcW w:type="dxa" w:w="3408"/>
            <w:vAlign w:val="center"/>
          </w:tcPr>
          <w:p>
            <w:r>
              <w:t>Rivals, pricing, market structure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Capital Allocation</w:t>
            </w:r>
          </w:p>
        </w:tc>
        <w:tc>
          <w:tcPr>
            <w:tcW w:type="dxa" w:w="3408"/>
            <w:vAlign w:val="center"/>
          </w:tcPr>
          <w:p>
            <w:r>
              <w:t>Buybacks, M&amp;A, investment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</w:tr>
    </w:tbl>
    <w:p>
      <w:r>
        <w:t>Usually not persistent by default: one city launch, one local regulatory hearing, a single promotion, one celebrity/customer event, or one unusual surge-pricing episode.</w:t>
      </w:r>
    </w:p>
    <w:p>
      <w:r>
        <w:t>Example — Uber actual Threads could be Mobility Economics, Take Rate / Unit Economics, Delivery, Network Effects, Autonomous Driving / Robotaxi, and Regulation.</w:t>
      </w:r>
    </w:p>
    <w:p>
      <w:pPr>
        <w:pStyle w:val="Heading1"/>
      </w:pPr>
      <w:r>
        <w:t>7. Company-Specific Threads</w:t>
      </w:r>
    </w:p>
    <w:p>
      <w:r>
        <w:t>The framework must explicitly allow company-specific Threads that do not exist in the archetype library.</w:t>
      </w:r>
    </w:p>
    <w:p>
      <w:pPr>
        <w:pStyle w:val="ListBullet"/>
      </w:pPr>
      <w:r>
        <w:t>Walmart → Sam’s Club China</w:t>
      </w:r>
    </w:p>
    <w:p>
      <w:pPr>
        <w:pStyle w:val="ListBullet"/>
      </w:pPr>
      <w:r>
        <w:t>Marvell → a specific hyperscaler ASIC relationship</w:t>
      </w:r>
    </w:p>
    <w:p>
      <w:pPr>
        <w:pStyle w:val="ListBullet"/>
      </w:pPr>
      <w:r>
        <w:t>Uber → Robotaxi commercialization</w:t>
      </w:r>
    </w:p>
    <w:p>
      <w:pPr>
        <w:pStyle w:val="ListBullet"/>
      </w:pPr>
      <w:r>
        <w:t>Google → AI Search Cannibalization</w:t>
      </w:r>
    </w:p>
    <w:p>
      <w:r>
        <w:t>A company-specific Thread should normally be created when it materially affects earnings, long-term competitive position, requires repeated monitoring, or is central to the user's personal thesis. A topic should not become persistent merely because it appears in one news item.</w:t>
      </w:r>
    </w:p>
    <w:p>
      <w:pPr>
        <w:pStyle w:val="Heading1"/>
      </w:pPr>
      <w:r>
        <w:t>8. When Does a Candidate Become a Persistent Thread?</w:t>
      </w:r>
    </w:p>
    <w:p>
      <w:r>
        <w:t>A candidate should generally become an Active Persistent Thread when multiple of the following are true:</w:t>
      </w:r>
    </w:p>
    <w:p>
      <w:pPr>
        <w:pStyle w:val="ListBullet"/>
      </w:pPr>
      <w:r>
        <w:t>Economic relevance — it can materially affect revenue, margins, cash flow, capital intensity, valuation assumptions, or competitive position.</w:t>
      </w:r>
    </w:p>
    <w:p>
      <w:pPr>
        <w:pStyle w:val="ListBullet"/>
      </w:pPr>
      <w:r>
        <w:t>Persistence — it is likely to matter across more than one reporting period.</w:t>
      </w:r>
    </w:p>
    <w:p>
      <w:pPr>
        <w:pStyle w:val="ListBullet"/>
      </w:pPr>
      <w:r>
        <w:t>Monitoring value — there are observable indicators that can be tracked.</w:t>
      </w:r>
    </w:p>
    <w:p>
      <w:pPr>
        <w:pStyle w:val="ListBullet"/>
      </w:pPr>
      <w:r>
        <w:t>Decision relevance — changes could change the user's research conclusion.</w:t>
      </w:r>
    </w:p>
    <w:p>
      <w:pPr>
        <w:pStyle w:val="ListBullet"/>
      </w:pPr>
      <w:r>
        <w:t>Recurrent evidence — future reports are likely to provide updates.</w:t>
      </w:r>
    </w:p>
    <w:p>
      <w:pPr>
        <w:pStyle w:val="Heading1"/>
      </w:pPr>
      <w:r>
        <w:t>9. Thread Lifecycle</w:t>
      </w:r>
    </w:p>
    <w:p>
      <w:r>
        <w:t>Candidate → Active → Watching → Dormant → Archived</w:t>
      </w:r>
    </w:p>
    <w:p>
      <w:pPr>
        <w:pStyle w:val="ListBullet"/>
      </w:pPr>
      <w:r>
        <w:t>Candidate: potentially important but not established.</w:t>
      </w:r>
    </w:p>
    <w:p>
      <w:pPr>
        <w:pStyle w:val="ListBullet"/>
      </w:pPr>
      <w:r>
        <w:t>Active: currently important to the research view.</w:t>
      </w:r>
    </w:p>
    <w:p>
      <w:pPr>
        <w:pStyle w:val="ListBullet"/>
      </w:pPr>
      <w:r>
        <w:t>Watching: not a main driver but worth monitoring.</w:t>
      </w:r>
    </w:p>
    <w:p>
      <w:pPr>
        <w:pStyle w:val="ListBullet"/>
      </w:pPr>
      <w:r>
        <w:t>Dormant: no meaningful change across several reviews.</w:t>
      </w:r>
    </w:p>
    <w:p>
      <w:pPr>
        <w:pStyle w:val="ListBullet"/>
      </w:pPr>
      <w:r>
        <w:t>Archived: no longer relevant under the current business model or thesis.</w:t>
      </w:r>
    </w:p>
    <w:p>
      <w:pPr>
        <w:pStyle w:val="ListBullet"/>
      </w:pPr>
      <w:r>
        <w:t>Re-activation is allowed when new evidence materially changes importance.</w:t>
      </w:r>
    </w:p>
    <w:p>
      <w:pPr>
        <w:pStyle w:val="Heading1"/>
      </w:pPr>
      <w:r>
        <w:t>10. Thread Importance</w:t>
      </w:r>
    </w:p>
    <w:p>
      <w:r>
        <w:t>Importance is dynamic: High / Medium / Low. Each review records the change as New / Increased / Unchanged / Decreased.</w:t>
      </w:r>
    </w:p>
    <w:p>
      <w:r>
        <w:t>Example: Advertising Monetization — August Medium/New → September High/Increased → October High/Unchanged → December Medium/Decreased.</w:t>
      </w:r>
    </w:p>
    <w:p>
      <w:pPr>
        <w:pStyle w:val="Heading1"/>
      </w:pPr>
      <w:r>
        <w:t>11. Persistent vs Flexible vs Ephemeral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Time horizon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56"/>
            <w:vAlign w:val="center"/>
          </w:tcPr>
          <w:p>
            <w:r>
              <w:t>Persistent</w:t>
            </w:r>
          </w:p>
        </w:tc>
        <w:tc>
          <w:tcPr>
            <w:tcW w:type="dxa" w:w="2556"/>
            <w:vAlign w:val="center"/>
          </w:tcPr>
          <w:p>
            <w:r>
              <w:t>Core long-term research theme</w:t>
            </w:r>
          </w:p>
        </w:tc>
        <w:tc>
          <w:tcPr>
            <w:tcW w:type="dxa" w:w="2556"/>
            <w:vAlign w:val="center"/>
          </w:tcPr>
          <w:p>
            <w:r>
              <w:t>Months–Years</w:t>
            </w:r>
          </w:p>
        </w:tc>
        <w:tc>
          <w:tcPr>
            <w:tcW w:type="dxa" w:w="2556"/>
            <w:vAlign w:val="center"/>
          </w:tcPr>
          <w:p>
            <w:r>
              <w:t>Walmart store network</w:t>
            </w:r>
          </w:p>
        </w:tc>
      </w:tr>
      <w:tr>
        <w:tc>
          <w:tcPr>
            <w:tcW w:type="dxa" w:w="2556"/>
            <w:vAlign w:val="center"/>
          </w:tcPr>
          <w:p>
            <w:r>
              <w:t>Flexible</w:t>
            </w:r>
          </w:p>
        </w:tc>
        <w:tc>
          <w:tcPr>
            <w:tcW w:type="dxa" w:w="2556"/>
            <w:vAlign w:val="center"/>
          </w:tcPr>
          <w:p>
            <w:r>
              <w:t>Important but persistence uncertain</w:t>
            </w:r>
          </w:p>
        </w:tc>
        <w:tc>
          <w:tcPr>
            <w:tcW w:type="dxa" w:w="2556"/>
            <w:vAlign w:val="center"/>
          </w:tcPr>
          <w:p>
            <w:r>
              <w:t>Weeks–Years</w:t>
            </w:r>
          </w:p>
        </w:tc>
        <w:tc>
          <w:tcPr>
            <w:tcW w:type="dxa" w:w="2556"/>
            <w:vAlign w:val="center"/>
          </w:tcPr>
          <w:p>
            <w:r>
              <w:t>Consumer trade-down</w:t>
            </w:r>
          </w:p>
        </w:tc>
      </w:tr>
      <w:tr>
        <w:tc>
          <w:tcPr>
            <w:tcW w:type="dxa" w:w="2556"/>
            <w:vAlign w:val="center"/>
          </w:tcPr>
          <w:p>
            <w:r>
              <w:t>Ephemeral</w:t>
            </w:r>
          </w:p>
        </w:tc>
        <w:tc>
          <w:tcPr>
            <w:tcW w:type="dxa" w:w="2556"/>
            <w:vAlign w:val="center"/>
          </w:tcPr>
          <w:p>
            <w:r>
              <w:t>Local or temporary issue</w:t>
            </w:r>
          </w:p>
        </w:tc>
        <w:tc>
          <w:tcPr>
            <w:tcW w:type="dxa" w:w="2556"/>
            <w:vAlign w:val="center"/>
          </w:tcPr>
          <w:p>
            <w:r>
              <w:t>Days–Weeks</w:t>
            </w:r>
          </w:p>
        </w:tc>
        <w:tc>
          <w:tcPr>
            <w:tcW w:type="dxa" w:w="2556"/>
            <w:vAlign w:val="center"/>
          </w:tcPr>
          <w:p>
            <w:r>
              <w:t>Temporary tariff announcement</w:t>
            </w:r>
          </w:p>
        </w:tc>
      </w:tr>
    </w:tbl>
    <w:p>
      <w:pPr>
        <w:pStyle w:val="Heading1"/>
      </w:pPr>
      <w:r>
        <w:t>12. How AI Uses the Framework</w:t>
      </w:r>
    </w:p>
    <w:p>
      <w:r>
        <w:t>The AI should receive the Company Archetype, Candidate Thread Library, existing Active/Watching Threads, new Evidence, and latest Report context. It should then determine Thread Actions rather than regenerate the entire taxonomy.</w:t>
      </w:r>
    </w:p>
    <w:p>
      <w:pPr>
        <w:pStyle w:val="ListBullet"/>
      </w:pPr>
      <w:r>
        <w:t>Continue an existing Thread.</w:t>
      </w:r>
    </w:p>
    <w:p>
      <w:pPr>
        <w:pStyle w:val="ListBullet"/>
      </w:pPr>
      <w:r>
        <w:t>Update an existing Thread.</w:t>
      </w:r>
    </w:p>
    <w:p>
      <w:pPr>
        <w:pStyle w:val="ListBullet"/>
      </w:pPr>
      <w:r>
        <w:t>Create a new Thread.</w:t>
      </w:r>
    </w:p>
    <w:p>
      <w:pPr>
        <w:pStyle w:val="ListBullet"/>
      </w:pPr>
      <w:r>
        <w:t>Deprioritize an existing Thread.</w:t>
      </w:r>
    </w:p>
    <w:p>
      <w:pPr>
        <w:pStyle w:val="ListBullet"/>
      </w:pPr>
      <w:r>
        <w:t>Close an existing Thread.</w:t>
      </w:r>
    </w:p>
    <w:p>
      <w:pPr>
        <w:pStyle w:val="ListBullet"/>
      </w:pPr>
      <w:r>
        <w:t>Mark a topic as Ephemeral.</w:t>
      </w:r>
    </w:p>
    <w:p>
      <w:pPr>
        <w:pStyle w:val="Heading1"/>
      </w:pPr>
      <w:r>
        <w:t>13. WMT Across Time — Example</w:t>
      </w:r>
    </w:p>
    <w:p>
      <w:r>
        <w:t>August: Active — Core Retail Economics, Store Network, E-commerce, Advertising. Watching — Sam’s Club. No persistent Thread — temporary tariff concern.</w:t>
      </w:r>
    </w:p>
    <w:p>
      <w:r>
        <w:t>September: Advertising becomes High / Increased; Store Network remains High / Unchanged; Tariff exposure is Create / Ephemeral.</w:t>
      </w:r>
    </w:p>
    <w:p>
      <w:r>
        <w:t>October: Tariff issue expires; Advertising remains High; E-commerce increases to High.</w:t>
      </w:r>
    </w:p>
    <w:p>
      <w:pPr>
        <w:pStyle w:val="Heading1"/>
      </w:pPr>
      <w:r>
        <w:t>14. MVP Scope</w:t>
      </w:r>
    </w:p>
    <w:p>
      <w:pPr>
        <w:pStyle w:val="ListBullet"/>
      </w:pPr>
      <w:r>
        <w:t>Define the first four archetypes.</w:t>
      </w:r>
    </w:p>
    <w:p>
      <w:pPr>
        <w:pStyle w:val="ListBullet"/>
      </w:pPr>
      <w:r>
        <w:t>Define candidate Thread libraries.</w:t>
      </w:r>
    </w:p>
    <w:p>
      <w:pPr>
        <w:pStyle w:val="ListBullet"/>
      </w:pPr>
      <w:r>
        <w:t>Define Persistent / Flexible / Ephemeral distinction.</w:t>
      </w:r>
    </w:p>
    <w:p>
      <w:pPr>
        <w:pStyle w:val="ListBullet"/>
      </w:pPr>
      <w:r>
        <w:t>Define Thread activation and lifecycle rules.</w:t>
      </w:r>
    </w:p>
    <w:p>
      <w:pPr>
        <w:pStyle w:val="ListBullet"/>
      </w:pPr>
      <w:r>
        <w:t>Allow company-specific Threads.</w:t>
      </w:r>
    </w:p>
    <w:p>
      <w:pPr>
        <w:pStyle w:val="ListBullet"/>
      </w:pPr>
      <w:r>
        <w:t>Define allowed AI Thread Actions.</w:t>
      </w:r>
    </w:p>
    <w:p>
      <w:r>
        <w:t>Not implemented in Step 3: database tables, embeddings, vector databases, knowledge graphs, automatic taxonomy learning, portfolio-level cross-company Threads, or a multi-agent thread manager.</w:t>
      </w:r>
    </w:p>
    <w:p>
      <w:pPr>
        <w:pStyle w:val="Heading1"/>
      </w:pPr>
      <w:r>
        <w:t>15. Frozen Decision</w:t>
      </w:r>
    </w:p>
    <w:p>
      <w:r>
        <w:t>The framework is generative, not prescriptive. It suggests what may matter, but the company, current evidence, user thesis, and time determine what actually persists.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