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AI-Assisted Personal Investment App</w:t>
      </w:r>
      <w:r>
        <w:rPr>
          <w:b/>
          <w:sz w:val="32"/>
        </w:rPr>
        <w:br/>
        <w:t>Step 5 — AI Slice / Master Research Report</w:t>
      </w:r>
    </w:p>
    <w:p>
      <w:pPr>
        <w:jc w:val="center"/>
      </w:pPr>
      <w:r>
        <w:t>Version 1.0 · Frozen for Step 5 implementation</w:t>
      </w:r>
    </w:p>
    <w:p>
      <w:pPr>
        <w:pStyle w:val="Heading1"/>
      </w:pPr>
      <w:r>
        <w:t>1. Step 5 Objective</w:t>
      </w:r>
    </w:p>
    <w:p>
      <w:r>
        <w:t>The AI Slice answers: “What does the current evidence mean for understanding this company?” The MVP uses Deep Narrative First: one coherent English Master Research Report, 3–6 Key Takeaways, and a small set of Thread Actions. No large collection of parallel structured AI objects.</w:t>
      </w:r>
    </w:p>
    <w:p>
      <w:pPr>
        <w:pStyle w:val="Heading1"/>
      </w:pPr>
      <w:r>
        <w:t>2. Relationship with the Previous Report</w:t>
      </w:r>
    </w:p>
    <w:p>
      <w:r>
        <w:t>Yes, the relationship is visible, but the new report does not inherit the previous report in full.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Representation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Report Lineage</w:t>
            </w:r>
          </w:p>
        </w:tc>
        <w:tc>
          <w:tcPr>
            <w:tcW w:type="dxa" w:w="3456"/>
            <w:vAlign w:val="center"/>
          </w:tcPr>
          <w:p>
            <w:r>
              <w:t>Which report immediately preceded this review</w:t>
            </w:r>
          </w:p>
        </w:tc>
        <w:tc>
          <w:tcPr>
            <w:tcW w:type="dxa" w:w="3456"/>
            <w:vAlign w:val="center"/>
          </w:tcPr>
          <w:p>
            <w:r>
              <w:t>previous_report_id</w:t>
            </w:r>
          </w:p>
        </w:tc>
      </w:tr>
      <w:tr>
        <w:tc>
          <w:tcPr>
            <w:tcW w:type="dxa" w:w="3456"/>
            <w:vAlign w:val="center"/>
          </w:tcPr>
          <w:p>
            <w:r>
              <w:t>Evidence Delta</w:t>
            </w:r>
          </w:p>
        </w:tc>
        <w:tc>
          <w:tcPr>
            <w:tcW w:type="dxa" w:w="3456"/>
            <w:vAlign w:val="center"/>
          </w:tcPr>
          <w:p>
            <w:r>
              <w:t>What factual inputs changed</w:t>
            </w:r>
          </w:p>
        </w:tc>
        <w:tc>
          <w:tcPr>
            <w:tcW w:type="dxa" w:w="3456"/>
            <w:vAlign w:val="center"/>
          </w:tcPr>
          <w:p>
            <w:r>
              <w:t>deterministic current-vs-previous diff</w:t>
            </w:r>
          </w:p>
        </w:tc>
      </w:tr>
      <w:tr>
        <w:tc>
          <w:tcPr>
            <w:tcW w:type="dxa" w:w="3456"/>
            <w:vAlign w:val="center"/>
          </w:tcPr>
          <w:p>
            <w:r>
              <w:t>Thread Actions</w:t>
            </w:r>
          </w:p>
        </w:tc>
        <w:tc>
          <w:tcPr>
            <w:tcW w:type="dxa" w:w="3456"/>
            <w:vAlign w:val="center"/>
          </w:tcPr>
          <w:p>
            <w:r>
              <w:t>What remains worth tracking</w:t>
            </w:r>
          </w:p>
        </w:tc>
        <w:tc>
          <w:tcPr>
            <w:tcW w:type="dxa" w:w="3456"/>
            <w:vAlign w:val="center"/>
          </w:tcPr>
          <w:p>
            <w:r>
              <w:t>Thread ID + action + Thread Version</w:t>
            </w:r>
          </w:p>
        </w:tc>
      </w:tr>
    </w:tbl>
    <w:p>
      <w:pPr>
        <w:pStyle w:val="Heading1"/>
      </w:pPr>
      <w:r>
        <w:t>3. Frozen Design Principle</w:t>
      </w:r>
    </w:p>
    <w:p>
      <w:pPr>
        <w:pStyle w:val="ListBullet"/>
      </w:pPr>
      <w:r>
        <w:t>Report = current snapshot and immutable after generation.</w:t>
      </w:r>
    </w:p>
    <w:p>
      <w:pPr>
        <w:pStyle w:val="ListBullet"/>
      </w:pPr>
      <w:r>
        <w:t>Thread = longitudinal research continuity.</w:t>
      </w:r>
    </w:p>
    <w:p>
      <w:pPr>
        <w:pStyle w:val="ListBullet"/>
      </w:pPr>
      <w:r>
        <w:t>Ephemeral topic = local; it need not become persistent.</w:t>
      </w:r>
    </w:p>
    <w:p>
      <w:pPr>
        <w:pStyle w:val="Heading1"/>
      </w:pPr>
      <w:r>
        <w:t>4. Why the Full Previous Report Is Not Sent to Gemini</w:t>
      </w:r>
    </w:p>
    <w:p>
      <w:r>
        <w:t>Sending full historical reports wastes input tokens, encourages narrative anchoring and repetitive output. The AI receives Current Evidence + Evidence Delta + Previous Key Takeaways + Active/Watching Thread summaries + Relevant Thread Versions + Analysis Mode.</w:t>
      </w:r>
    </w:p>
    <w:p>
      <w:pPr>
        <w:pStyle w:val="Heading1"/>
      </w:pPr>
      <w:r>
        <w:t>5. Master Research Report</w:t>
      </w:r>
    </w:p>
    <w:p>
      <w:pPr>
        <w:pStyle w:val="ListBullet"/>
      </w:pPr>
      <w:r>
        <w:t>Business Model &amp; Earnings Logic</w:t>
      </w:r>
    </w:p>
    <w:p>
      <w:pPr>
        <w:pStyle w:val="ListBullet"/>
      </w:pPr>
      <w:r>
        <w:t>Investment Classification</w:t>
      </w:r>
    </w:p>
    <w:p>
      <w:pPr>
        <w:pStyle w:val="ListBullet"/>
      </w:pPr>
      <w:r>
        <w:t>Moat &amp; Competitive Position</w:t>
      </w:r>
    </w:p>
    <w:p>
      <w:pPr>
        <w:pStyle w:val="ListBullet"/>
      </w:pPr>
      <w:r>
        <w:t>Financial Quality</w:t>
      </w:r>
    </w:p>
    <w:p>
      <w:pPr>
        <w:pStyle w:val="ListBullet"/>
      </w:pPr>
      <w:r>
        <w:t>Valuation Context</w:t>
      </w:r>
    </w:p>
    <w:p>
      <w:pPr>
        <w:pStyle w:val="ListBullet"/>
      </w:pPr>
      <w:r>
        <w:t>Key Growth Drivers</w:t>
      </w:r>
    </w:p>
    <w:p>
      <w:pPr>
        <w:pStyle w:val="ListBullet"/>
      </w:pPr>
      <w:r>
        <w:t>Catalysts</w:t>
      </w:r>
    </w:p>
    <w:p>
      <w:pPr>
        <w:pStyle w:val="ListBullet"/>
      </w:pPr>
      <w:r>
        <w:t>Key Risks</w:t>
      </w:r>
    </w:p>
    <w:p>
      <w:pPr>
        <w:pStyle w:val="ListBullet"/>
      </w:pPr>
      <w:r>
        <w:t>What Matters Most Now</w:t>
      </w:r>
    </w:p>
    <w:p>
      <w:pPr>
        <w:pStyle w:val="ListBullet"/>
      </w:pPr>
      <w:r>
        <w:t>What to Monitor</w:t>
      </w:r>
    </w:p>
    <w:p>
      <w:r>
        <w:t>The report should read like one coherent analyst note, not independent JSON fields.</w:t>
      </w:r>
    </w:p>
    <w:p>
      <w:pPr>
        <w:pStyle w:val="Heading1"/>
      </w:pPr>
      <w:r>
        <w:t>6. Key Takeaways</w:t>
      </w:r>
    </w:p>
    <w:p>
      <w:r>
        <w:t>Return 3–6 concise conclusions derived from the report; introduce no new facts.</w:t>
      </w:r>
    </w:p>
    <w:p>
      <w:pPr>
        <w:pStyle w:val="Heading1"/>
      </w:pPr>
      <w:r>
        <w:t>7. Thread Actions</w:t>
      </w:r>
    </w:p>
    <w:p>
      <w:r>
        <w:t>Allowed: continue, update, create, deprioritize, close, ephemeral. Minimal fields: action, thread_id, title, importance, importance_change, change_summary.</w:t>
      </w:r>
    </w:p>
    <w:p>
      <w:pPr>
        <w:pStyle w:val="Heading1"/>
      </w:pPr>
      <w:r>
        <w:t>8. Initial vs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Case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Mode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3456"/>
            <w:vAlign w:val="center"/>
          </w:tcPr>
          <w:p>
            <w:r>
              <w:t>No previous report</w:t>
            </w:r>
          </w:p>
        </w:tc>
        <w:tc>
          <w:tcPr>
            <w:tcW w:type="dxa" w:w="3456"/>
            <w:vAlign w:val="center"/>
          </w:tcPr>
          <w:p>
            <w:r>
              <w:t>initial</w:t>
            </w:r>
          </w:p>
        </w:tc>
        <w:tc>
          <w:tcPr>
            <w:tcW w:type="dxa" w:w="3456"/>
            <w:vAlign w:val="center"/>
          </w:tcPr>
          <w:p>
            <w:r>
              <w:t>Current evidence + candidate thread framework</w:t>
            </w:r>
          </w:p>
        </w:tc>
      </w:tr>
      <w:tr>
        <w:tc>
          <w:tcPr>
            <w:tcW w:type="dxa" w:w="3456"/>
            <w:vAlign w:val="center"/>
          </w:tcPr>
          <w:p>
            <w:r>
              <w:t>Existing report + material change</w:t>
            </w:r>
          </w:p>
        </w:tc>
        <w:tc>
          <w:tcPr>
            <w:tcW w:type="dxa" w:w="3456"/>
            <w:vAlign w:val="center"/>
          </w:tcPr>
          <w:p>
            <w:r>
              <w:t>full_follow_up</w:t>
            </w:r>
          </w:p>
        </w:tc>
        <w:tc>
          <w:tcPr>
            <w:tcW w:type="dxa" w:w="3456"/>
            <w:vAlign w:val="center"/>
          </w:tcPr>
          <w:p>
            <w:r>
              <w:t>Current evidence + delta + previous takeaways + relevant Threads</w:t>
            </w:r>
          </w:p>
        </w:tc>
      </w:tr>
      <w:tr>
        <w:tc>
          <w:tcPr>
            <w:tcW w:type="dxa" w:w="3456"/>
            <w:vAlign w:val="center"/>
          </w:tcPr>
          <w:p>
            <w:r>
              <w:t>Existing report + little change</w:t>
            </w:r>
          </w:p>
        </w:tc>
        <w:tc>
          <w:tcPr>
            <w:tcW w:type="dxa" w:w="3456"/>
            <w:vAlign w:val="center"/>
          </w:tcPr>
          <w:p>
            <w:r>
              <w:t>low_change</w:t>
            </w:r>
          </w:p>
        </w:tc>
        <w:tc>
          <w:tcPr>
            <w:tcW w:type="dxa" w:w="3456"/>
            <w:vAlign w:val="center"/>
          </w:tcPr>
          <w:p>
            <w:r>
              <w:t>Current evidence + delta + active/relevant Threads</w:t>
            </w:r>
          </w:p>
        </w:tc>
      </w:tr>
    </w:tbl>
    <w:p>
      <w:pPr>
        <w:pStyle w:val="Heading1"/>
      </w:pPr>
      <w:r>
        <w:t>9. What Changed Since the Last Review</w:t>
      </w:r>
    </w:p>
    <w:p>
      <w:r>
        <w:t>Every follow-up report explicitly includes a compact 2–5 item section titled “What Changed Since the Last Review”. This is the primary user-visible bridge between consecutive reports.</w:t>
      </w:r>
    </w:p>
    <w:p>
      <w:pPr>
        <w:pStyle w:val="Heading1"/>
      </w:pPr>
      <w:r>
        <w:t>10. Material Change Detection</w:t>
      </w:r>
    </w:p>
    <w:p>
      <w:r>
        <w:t>Before Gemini, Python compares financial metrics, valuation, analyst consensus, new news, missing/restored sections, and material price/market-cap changes. Output: material_change = true/false.</w:t>
      </w:r>
    </w:p>
    <w:p>
      <w:pPr>
        <w:pStyle w:val="Heading1"/>
      </w:pPr>
      <w:r>
        <w:t>11. Duplicate / Low-Change Rules</w:t>
      </w:r>
    </w:p>
    <w:p>
      <w:r>
        <w:t>If current content_hash equals previous snapshot hash and model/prompt version are unchanged, do not call Gemini again. Reuse the report. If evidence changed but no meaningful research change is detected, use low_change and produce a shorter follow-up. Full refresh remains user-triggered.</w:t>
      </w:r>
    </w:p>
    <w:p>
      <w:pPr>
        <w:pStyle w:val="Heading1"/>
      </w:pPr>
      <w:r>
        <w:t>12. Full Follow-up Review</w:t>
      </w:r>
    </w:p>
    <w:p>
      <w:r>
        <w:t>Use a full review for major financial changes, earnings/guidance, major strategic news, material valuation shifts, important Thread state changes, or explicit user request.</w:t>
      </w:r>
    </w:p>
    <w:p>
      <w:pPr>
        <w:pStyle w:val="Heading1"/>
      </w:pPr>
      <w:r>
        <w:t>13. Minimal AI Output Schema</w:t>
      </w:r>
    </w:p>
    <w:p>
      <w:r>
        <w:t>MasterResearchReport = report_markdown + key_takeaways + what_changed + thread_actions. ThreadAction = action + thread_id + title + importance + importance_change + change_summary.</w:t>
      </w:r>
    </w:p>
    <w:p>
      <w:pPr>
        <w:pStyle w:val="Heading1"/>
      </w:pPr>
      <w:r>
        <w:t>14. ResearchReport Relationship</w:t>
      </w:r>
    </w:p>
    <w:p>
      <w:r>
        <w:t>ResearchReport: report_id, company_id, snapshot_id, previous_report_id, review_type, material_change, model, prompt_version, input_hash, report_markdown, key_takeaways, what_changed, created_at. Longitudinal continuity remains ResearchReport → ThreadAction → ResearchThread → ThreadVersion.</w:t>
      </w:r>
    </w:p>
    <w:p>
      <w:pPr>
        <w:pStyle w:val="Heading1"/>
      </w:pPr>
      <w:r>
        <w:t>15. Runtime Flow</w:t>
      </w:r>
    </w:p>
    <w:p>
      <w:r>
        <w:t>User → Slice 1 → find previous Snapshot/Report → compare evidence → build Evidence Delta → load compact historical context → Gemini → Report + Takeaways + Thread Actions → ResearchReport → Thread processing / Timeline → UI.</w:t>
      </w:r>
    </w:p>
    <w:p>
      <w:pPr>
        <w:pStyle w:val="Heading1"/>
      </w:pPr>
      <w:r>
        <w:t>16. UI</w:t>
      </w:r>
    </w:p>
    <w:p>
      <w:r>
        <w:t>Show current report first: Last Review → What Changed → Key Takeaways → Master Research Report → Active Research Threads → Timeline. Historical reports remain accessible.</w:t>
      </w:r>
    </w:p>
    <w:p>
      <w:pPr>
        <w:pStyle w:val="Heading1"/>
      </w:pPr>
      <w:r>
        <w:t>17. Critical Design Distinction</w:t>
      </w:r>
    </w:p>
    <w:p>
      <w:r>
        <w:t>Do not make every report a version of the previous report. Report = immutable current view; Thread Version = longitudinal state; previous_report_id = navigation/comparison; thread_id = research continuity.</w:t>
      </w:r>
    </w:p>
    <w:p>
      <w:pPr>
        <w:pStyle w:val="Heading1"/>
      </w:pPr>
      <w:r>
        <w:t>18. Frozen Step 5 Decision</w:t>
      </w:r>
    </w:p>
    <w:p>
      <w:r>
        <w:t>One deep current-state Master Research Report + 3–6 Key Takeaways + a small set of Thread Actions. Temporal continuity = Report Lineage + Evidence Delta + Thread Continuity.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