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workbench-v2-version-history"/>
    <w:p>
      <w:pPr>
        <w:pStyle w:val="Heading1"/>
      </w:pPr>
      <w:r>
        <w:t xml:space="preserve">Workbench v2: version history</w:t>
      </w:r>
    </w:p>
    <w:p>
      <w:pPr>
        <w:pStyle w:val="FirstParagraph"/>
      </w:pPr>
      <w:r>
        <w:t xml:space="preserve">Each delivered version of the investment workbench with a summary of what it added or fixed. Dates are the local dates the versions were delivered; confirm the earliest ones against the git history before submitting.</w:t>
      </w:r>
    </w:p>
    <w:tbl>
      <w:tblPr>
        <w:tblStyle w:val="Table"/>
        <w:tblW w:type="pct" w:w="4985"/>
        <w:tblLook w:firstRow="1" w:lastRow="0" w:firstColumn="0" w:lastColumn="0" w:noHBand="0" w:noVBand="0" w:val="0020"/>
        <w:jc w:val="start"/>
      </w:tblPr>
      <w:tblGrid>
        <w:gridCol w:w="284"/>
        <w:gridCol w:w="403"/>
        <w:gridCol w:w="7208"/>
      </w:tblGrid>
      <w:tr>
        <w:trPr>
          <w:tblHeader w:val="true"/>
        </w:trPr>
        <w:tc>
          <w:tcPr/>
          <w:p>
            <w:pPr>
              <w:pStyle w:val="Compact"/>
              <w:jc w:val="left"/>
            </w:pPr>
            <w:r>
              <w:rPr>
                <w:bCs/>
                <w:b/>
              </w:rPr>
              <w:t xml:space="preserve">Version</w:t>
            </w:r>
          </w:p>
        </w:tc>
        <w:tc>
          <w:tcPr/>
          <w:p>
            <w:pPr>
              <w:pStyle w:val="Compact"/>
              <w:jc w:val="left"/>
            </w:pPr>
            <w:r>
              <w:rPr>
                <w:bCs/>
                <w:b/>
              </w:rPr>
              <w:t xml:space="preserve">Delivered</w:t>
            </w:r>
          </w:p>
        </w:tc>
        <w:tc>
          <w:tcPr/>
          <w:p>
            <w:pPr>
              <w:pStyle w:val="Compact"/>
              <w:jc w:val="left"/>
            </w:pPr>
            <w:r>
              <w:rPr>
                <w:bCs/>
                <w:b/>
              </w:rPr>
              <w:t xml:space="preserve">Features added or fixed</w:t>
            </w:r>
          </w:p>
        </w:tc>
      </w:tr>
      <w:tr>
        <w:tc>
          <w:tcPr/>
          <w:p>
            <w:pPr>
              <w:pStyle w:val="Compact"/>
              <w:jc w:val="left"/>
            </w:pPr>
            <w:r>
              <w:t xml:space="preserve">2.5.1</w:t>
            </w:r>
          </w:p>
        </w:tc>
        <w:tc>
          <w:tcPr/>
          <w:p>
            <w:pPr>
              <w:pStyle w:val="Compact"/>
              <w:jc w:val="left"/>
            </w:pPr>
            <w:r>
              <w:t xml:space="preserve">Before 10/07 (confirm from git)</w:t>
            </w:r>
          </w:p>
        </w:tc>
        <w:tc>
          <w:tcPr/>
          <w:p>
            <w:pPr>
              <w:pStyle w:val="Compact"/>
              <w:jc w:val="left"/>
            </w:pPr>
            <w:r>
              <w:t xml:space="preserve">Foundation of v2: thesis tracker (each Review is a self-contained thesis state); deterministic change detection with price-effect stripping and a free 'check' when nothing changed; token strategy (compact JSON, thinking budget, retry on truncation); English front end (Brief, Thesis, Fundamentals, Timeline, Notes); grouped sidebar and Overview; Futu CSV import for holdings and trades (US / HK / SG); position plans with code-evaluated status; ticker validation; in-page confirmation dialogs; Gemini model fallback chain; prompt tracker-1.6 with evidence discipline and code-computed valuation metrics.</w:t>
            </w:r>
          </w:p>
        </w:tc>
      </w:tr>
      <w:tr>
        <w:tc>
          <w:tcPr/>
          <w:p>
            <w:pPr>
              <w:pStyle w:val="Compact"/>
              <w:jc w:val="left"/>
            </w:pPr>
            <w:r>
              <w:t xml:space="preserve">2.6.0</w:t>
            </w:r>
          </w:p>
        </w:tc>
        <w:tc>
          <w:tcPr/>
          <w:p>
            <w:pPr>
              <w:pStyle w:val="Compact"/>
              <w:jc w:val="left"/>
            </w:pPr>
            <w:r>
              <w:t xml:space="preserve">Before 10/07 (confirm from git)</w:t>
            </w:r>
          </w:p>
        </w:tc>
        <w:tc>
          <w:tcPr/>
          <w:p>
            <w:pPr>
              <w:pStyle w:val="Compact"/>
              <w:jc w:val="left"/>
            </w:pPr>
            <w:r>
              <w:t xml:space="preserve">Trade reasons and review: strategy, fundamental and technical reasons, revisit date and outcome per trade; pre-split price flag; plan tags on Overview; Portfolio card listing trades that need a reason.</w:t>
            </w:r>
          </w:p>
        </w:tc>
      </w:tr>
      <w:tr>
        <w:tc>
          <w:tcPr/>
          <w:p>
            <w:pPr>
              <w:pStyle w:val="Compact"/>
              <w:jc w:val="left"/>
            </w:pPr>
            <w:r>
              <w:t xml:space="preserve">2.7.0</w:t>
            </w:r>
          </w:p>
        </w:tc>
        <w:tc>
          <w:tcPr/>
          <w:p>
            <w:pPr>
              <w:pStyle w:val="Compact"/>
              <w:jc w:val="left"/>
            </w:pPr>
            <w:r>
              <w:t xml:space="preserve">Before 10/07 (confirm from git)</w:t>
            </w:r>
          </w:p>
        </w:tc>
        <w:tc>
          <w:tcPr/>
          <w:p>
            <w:pPr>
              <w:pStyle w:val="Compact"/>
              <w:jc w:val="left"/>
            </w:pPr>
            <w:r>
              <w:t xml:space="preserve">Portfolio Journal (decision / review / macro / source) with a portfolio snapshot saved on each entry; code-generated review checklist and a Start review prefill; journal entries and notes merged into the company timeline; trade-import diagnostic report (rows, unfilled, unreadable, symbols) to investigate missing TLT trades.</w:t>
            </w:r>
          </w:p>
        </w:tc>
      </w:tr>
      <w:tr>
        <w:tc>
          <w:tcPr/>
          <w:p>
            <w:pPr>
              <w:pStyle w:val="Compact"/>
              <w:jc w:val="left"/>
            </w:pPr>
            <w:r>
              <w:t xml:space="preserve">2.8.0</w:t>
            </w:r>
          </w:p>
        </w:tc>
        <w:tc>
          <w:tcPr/>
          <w:p>
            <w:pPr>
              <w:pStyle w:val="Compact"/>
              <w:jc w:val="left"/>
            </w:pPr>
            <w:r>
              <w:t xml:space="preserve">10/07</w:t>
            </w:r>
          </w:p>
        </w:tc>
        <w:tc>
          <w:tcPr/>
          <w:p>
            <w:pPr>
              <w:pStyle w:val="Compact"/>
              <w:jc w:val="left"/>
            </w:pPr>
            <w:r>
              <w:t xml:space="preserve">Search, filters, sorting and paging for Overview and Portfolio; sector column; allocation bar by sector, investment purpose, type and view; visual polish (row colour bars, highlighted summary cards); Analyse now asks for confirmation and shows progress; hover help bubbles on Journal fields; sidebar filter box.</w:t>
            </w:r>
          </w:p>
        </w:tc>
      </w:tr>
      <w:tr>
        <w:tc>
          <w:tcPr/>
          <w:p>
            <w:pPr>
              <w:pStyle w:val="Compact"/>
              <w:jc w:val="left"/>
            </w:pPr>
            <w:r>
              <w:t xml:space="preserve">2.9.0</w:t>
            </w:r>
          </w:p>
        </w:tc>
        <w:tc>
          <w:tcPr/>
          <w:p>
            <w:pPr>
              <w:pStyle w:val="Compact"/>
              <w:jc w:val="left"/>
            </w:pPr>
            <w:r>
              <w:t xml:space="preserve">10/07</w:t>
            </w:r>
          </w:p>
        </w:tc>
        <w:tc>
          <w:tcPr/>
          <w:p>
            <w:pPr>
              <w:pStyle w:val="Compact"/>
              <w:jc w:val="left"/>
            </w:pPr>
            <w:r>
              <w:t xml:space="preserve">On-demand Chinese translation stored per review (buttons for latest, historical and baseline text); market filter (US / HK / SG); help bubbles that define View, Thesis health, assumption status, plan status and type; collapsible sidebar groups with fixed header and footer; share-class symbols fixed (BRK.B to BRK-B) with automatic migration of old rows.</w:t>
            </w:r>
          </w:p>
        </w:tc>
      </w:tr>
      <w:tr>
        <w:tc>
          <w:tcPr/>
          <w:p>
            <w:pPr>
              <w:pStyle w:val="Compact"/>
              <w:jc w:val="left"/>
            </w:pPr>
            <w:r>
              <w:t xml:space="preserve">2.9.1</w:t>
            </w:r>
          </w:p>
        </w:tc>
        <w:tc>
          <w:tcPr/>
          <w:p>
            <w:pPr>
              <w:pStyle w:val="Compact"/>
              <w:jc w:val="left"/>
            </w:pPr>
            <w:r>
              <w:t xml:space="preserve">10/07</w:t>
            </w:r>
          </w:p>
        </w:tc>
        <w:tc>
          <w:tcPr/>
          <w:p>
            <w:pPr>
              <w:pStyle w:val="Compact"/>
              <w:jc w:val="left"/>
            </w:pPr>
            <w:r>
              <w:t xml:space="preserve">Fixes found in use: translate button for the older baseline report; caption explaining the status dots; help bubbles no longer clipped by scrolling tables; bond ETFs recognised by name keywords.</w:t>
            </w:r>
          </w:p>
        </w:tc>
      </w:tr>
      <w:tr>
        <w:tc>
          <w:tcPr/>
          <w:p>
            <w:pPr>
              <w:pStyle w:val="Compact"/>
              <w:jc w:val="left"/>
            </w:pPr>
            <w:r>
              <w:t xml:space="preserve">2.10.0</w:t>
            </w:r>
          </w:p>
        </w:tc>
        <w:tc>
          <w:tcPr/>
          <w:p>
            <w:pPr>
              <w:pStyle w:val="Compact"/>
              <w:jc w:val="left"/>
            </w:pPr>
            <w:r>
              <w:t xml:space="preserve">10/07</w:t>
            </w:r>
          </w:p>
        </w:tc>
        <w:tc>
          <w:tcPr/>
          <w:p>
            <w:pPr>
              <w:pStyle w:val="Compact"/>
              <w:jc w:val="left"/>
            </w:pPr>
            <w:r>
              <w:t xml:space="preserve">Overview Period digest (7 / 30 / 90 days): trades, thesis changes, plan alerts, due items, biggest movers by weight x move; computed by code with no model call.</w:t>
            </w:r>
          </w:p>
        </w:tc>
      </w:tr>
      <w:tr>
        <w:tc>
          <w:tcPr/>
          <w:p>
            <w:pPr>
              <w:pStyle w:val="Compact"/>
              <w:jc w:val="left"/>
            </w:pPr>
            <w:r>
              <w:t xml:space="preserve">2.11.0</w:t>
            </w:r>
          </w:p>
        </w:tc>
        <w:tc>
          <w:tcPr/>
          <w:p>
            <w:pPr>
              <w:pStyle w:val="Compact"/>
              <w:jc w:val="left"/>
            </w:pPr>
            <w:r>
              <w:t xml:space="preserve">10/07</w:t>
            </w:r>
          </w:p>
        </w:tc>
        <w:tc>
          <w:tcPr/>
          <w:p>
            <w:pPr>
              <w:pStyle w:val="Compact"/>
              <w:jc w:val="left"/>
            </w:pPr>
            <w:r>
              <w:t xml:space="preserve">Security hardening: Host and Origin checks against cross-site and DNS-rebinding requests, upload size limit, security response headers and a content security policy, http(s)-only links; company names for Hong Kong and Singapore codes in the sidebar; full English design document including a Security chapter.</w:t>
            </w:r>
          </w:p>
        </w:tc>
      </w:tr>
      <w:tr>
        <w:tc>
          <w:tcPr/>
          <w:p>
            <w:pPr>
              <w:pStyle w:val="Compact"/>
              <w:jc w:val="left"/>
            </w:pPr>
            <w:r>
              <w:t xml:space="preserve">2.12.0</w:t>
            </w:r>
          </w:p>
        </w:tc>
        <w:tc>
          <w:tcPr/>
          <w:p>
            <w:pPr>
              <w:pStyle w:val="Compact"/>
              <w:jc w:val="left"/>
            </w:pPr>
            <w:r>
              <w:t xml:space="preserve">10/08</w:t>
            </w:r>
          </w:p>
        </w:tc>
        <w:tc>
          <w:tcPr/>
          <w:p>
            <w:pPr>
              <w:pStyle w:val="Compact"/>
              <w:jc w:val="left"/>
            </w:pPr>
            <w:r>
              <w:t xml:space="preserve">Trade calendar: month, week and list views (Sunday start); chips showing buy / sell and review state; day detail with reason, review and change since the trade; round-trip and pre-split flags; filters; layers for due items and journal events; journal entries get an optional event date.</w:t>
            </w:r>
          </w:p>
        </w:tc>
      </w:tr>
      <w:tr>
        <w:tc>
          <w:tcPr/>
          <w:p>
            <w:pPr>
              <w:pStyle w:val="Compact"/>
              <w:jc w:val="left"/>
            </w:pPr>
            <w:r>
              <w:t xml:space="preserve">2.13.0</w:t>
            </w:r>
          </w:p>
        </w:tc>
        <w:tc>
          <w:tcPr/>
          <w:p>
            <w:pPr>
              <w:pStyle w:val="Compact"/>
              <w:jc w:val="left"/>
            </w:pPr>
            <w:r>
              <w:t xml:space="preserve">10/08</w:t>
            </w:r>
          </w:p>
        </w:tc>
        <w:tc>
          <w:tcPr/>
          <w:p>
            <w:pPr>
              <w:pStyle w:val="Compact"/>
              <w:jc w:val="left"/>
            </w:pPr>
            <w:r>
              <w:t xml:space="preserve">Calendar legend and help bubble; '+ Journal note or event' from any calendar day (event date prefilled); cross-links so Portfolio, Overview and Journal point to the calendar for trade detail; Journal checklist date picker; Portfolio backlog card reduced to a summary plus the 5 most recent trades.</w:t>
            </w:r>
          </w:p>
        </w:tc>
      </w:tr>
      <w:tr>
        <w:tc>
          <w:tcPr/>
          <w:p>
            <w:pPr>
              <w:pStyle w:val="Compact"/>
              <w:jc w:val="left"/>
            </w:pPr>
            <w:r>
              <w:t xml:space="preserve">2.14.0</w:t>
            </w:r>
          </w:p>
        </w:tc>
        <w:tc>
          <w:tcPr/>
          <w:p>
            <w:pPr>
              <w:pStyle w:val="Compact"/>
              <w:jc w:val="left"/>
            </w:pPr>
            <w:r>
              <w:t xml:space="preserve">10/09</w:t>
            </w:r>
          </w:p>
        </w:tc>
        <w:tc>
          <w:tcPr/>
          <w:p>
            <w:pPr>
              <w:pStyle w:val="Compact"/>
              <w:jc w:val="left"/>
            </w:pPr>
            <w:r>
              <w:t xml:space="preserve">Trade outcomes and guidance: reason dialog defaults the decision date to the trade day (editable); result rating (worked / mixed / did not work / too early) with what happened and follow-up; one reason for several selected trades; ✔ ◐ ✗ markers; outcome counts by strategy on Portfolio; in-app Guide with the decision loop, module map and the goal and standard of each holding strategy.</w:t>
            </w:r>
          </w:p>
        </w:tc>
      </w:tr>
      <w:tr>
        <w:tc>
          <w:tcPr/>
          <w:p>
            <w:pPr>
              <w:pStyle w:val="Compact"/>
              <w:jc w:val="left"/>
            </w:pPr>
            <w:r>
              <w:t xml:space="preserve">2.15.0</w:t>
            </w:r>
          </w:p>
        </w:tc>
        <w:tc>
          <w:tcPr/>
          <w:p>
            <w:pPr>
              <w:pStyle w:val="Compact"/>
              <w:jc w:val="left"/>
            </w:pPr>
            <w:r>
              <w:t xml:space="preserve">10/10</w:t>
            </w:r>
          </w:p>
        </w:tc>
        <w:tc>
          <w:tcPr/>
          <w:p>
            <w:pPr>
              <w:pStyle w:val="Compact"/>
              <w:jc w:val="left"/>
            </w:pPr>
            <w:r>
              <w:t xml:space="preserve">Position sizing and logic: Plan gains target and max weight (percent), an over-max-weight alert and an estimated amount to add or trim; the position logic and strategy are written once in the Plan and copied into trades, which now record only role and trigger;</w:t>
            </w:r>
            <w:r>
              <w:t xml:space="preserve"> </w:t>
            </w:r>
            <w:r>
              <w:t xml:space="preserve">“</w:t>
            </w:r>
            <w:r>
              <w:t xml:space="preserve">use this logic</w:t>
            </w:r>
            <w:r>
              <w:t xml:space="preserve">”</w:t>
            </w:r>
            <w:r>
              <w:t xml:space="preserve"> </w:t>
            </w:r>
            <w:r>
              <w:t xml:space="preserve">for trades without a reason; quarterly (8) and annual (5) results in Fundamentals; code-computed quarterly trend for the model (prompt tracker-1.7); a newly reported quarter counts as a change.</w:t>
            </w:r>
          </w:p>
        </w:tc>
      </w:tr>
      <w:tr>
        <w:tc>
          <w:tcPr/>
          <w:p>
            <w:pPr>
              <w:pStyle w:val="Compact"/>
              <w:jc w:val="left"/>
            </w:pPr>
            <w:r>
              <w:t xml:space="preserve">2.15.1</w:t>
            </w:r>
          </w:p>
        </w:tc>
        <w:tc>
          <w:tcPr/>
          <w:p>
            <w:pPr>
              <w:pStyle w:val="Compact"/>
              <w:jc w:val="left"/>
            </w:pPr>
            <w:r>
              <w:t xml:space="preserve">10/10</w:t>
            </w:r>
          </w:p>
        </w:tc>
        <w:tc>
          <w:tcPr/>
          <w:p>
            <w:pPr>
              <w:pStyle w:val="Compact"/>
              <w:jc w:val="left"/>
            </w:pPr>
            <w:r>
              <w:t xml:space="preserve">Position size set in money, not percent: Plan has a target position and a maximum position in the stock’s own currency, compared with quantity x price (no portfolio-value estimate needed); the plan card shows room left and an over-max-position alert; Portfolio keeps broker percentage weights; help-icon layout fixed in dialogs.</w:t>
            </w:r>
          </w:p>
        </w:tc>
      </w:tr>
      <w:tr>
        <w:tc>
          <w:tcPr/>
          <w:p>
            <w:pPr>
              <w:pStyle w:val="Compact"/>
              <w:jc w:val="left"/>
            </w:pPr>
            <w:r>
              <w:t xml:space="preserve">2.18.0</w:t>
            </w:r>
          </w:p>
        </w:tc>
        <w:tc>
          <w:tcPr/>
          <w:p>
            <w:pPr>
              <w:pStyle w:val="Compact"/>
              <w:jc w:val="left"/>
            </w:pPr>
            <w:r>
              <w:t xml:space="preserve">10/10 (confirm from git)</w:t>
            </w:r>
          </w:p>
        </w:tc>
        <w:tc>
          <w:tcPr/>
          <w:p>
            <w:pPr>
              <w:pStyle w:val="Compact"/>
              <w:jc w:val="left"/>
            </w:pPr>
            <w:r>
              <w:t xml:space="preserve">Valuation lab as a separate page and a separate append-only store (valuation.db): P/E and EV/EBITDA exit-multiple models with Bear / Base / Bull ranges and reverse calculations (what EPS, margin or multiple earns the required return); EPS anchors labelled by kind (trailing twelve months, analyst year, reported year); status-quo defaults; plausibility checks that never change the numbers; analysis records keep only a reference to their data record; page and server API version check. Includes 2.17.0, the first version of the lab.</w:t>
            </w:r>
          </w:p>
        </w:tc>
      </w:tr>
      <w:tr>
        <w:tc>
          <w:tcPr/>
          <w:p>
            <w:pPr>
              <w:pStyle w:val="Compact"/>
              <w:jc w:val="left"/>
            </w:pPr>
            <w:r>
              <w:t xml:space="preserve">2.19.0</w:t>
            </w:r>
          </w:p>
        </w:tc>
        <w:tc>
          <w:tcPr/>
          <w:p>
            <w:pPr>
              <w:pStyle w:val="Compact"/>
              <w:jc w:val="left"/>
            </w:pPr>
            <w:r>
              <w:t xml:space="preserve">10/10 to 10/11 (confirm)</w:t>
            </w:r>
          </w:p>
        </w:tc>
        <w:tc>
          <w:tcPr/>
          <w:p>
            <w:pPr>
              <w:pStyle w:val="Compact"/>
              <w:jc w:val="left"/>
            </w:pPr>
            <w:r>
              <w:t xml:space="preserve">P/FCF method (free cash flow per share, before or after stock-based compensation); Compare tab for 2 to 5 tickers on the same rules, ranked by the most conservative Base result, methods never averaged; saved comparisons.</w:t>
            </w:r>
          </w:p>
        </w:tc>
      </w:tr>
      <w:tr>
        <w:tc>
          <w:tcPr/>
          <w:p>
            <w:pPr>
              <w:pStyle w:val="Compact"/>
              <w:jc w:val="left"/>
            </w:pPr>
            <w:r>
              <w:t xml:space="preserve">2.20.0</w:t>
            </w:r>
          </w:p>
        </w:tc>
        <w:tc>
          <w:tcPr/>
          <w:p>
            <w:pPr>
              <w:pStyle w:val="Compact"/>
              <w:jc w:val="left"/>
            </w:pPr>
            <w:r>
              <w:t xml:space="preserve">10/10 to 10/11 (confirm)</w:t>
            </w:r>
          </w:p>
        </w:tc>
        <w:tc>
          <w:tcPr/>
          <w:p>
            <w:pPr>
              <w:pStyle w:val="Compact"/>
              <w:jc w:val="left"/>
            </w:pPr>
            <w:r>
              <w:t xml:space="preserve">Valuation page restyled to match the workbench (tabs, dark mode, help bubbles); growth fade to a long-run rate; exit-multiple references (today, own history, peers, sector range); optional industry peers from Yahoo; de-rating case in Compare.</w:t>
            </w:r>
          </w:p>
        </w:tc>
      </w:tr>
      <w:tr>
        <w:tc>
          <w:tcPr/>
          <w:p>
            <w:pPr>
              <w:pStyle w:val="Compact"/>
              <w:jc w:val="left"/>
            </w:pPr>
            <w:r>
              <w:t xml:space="preserve">2.21.0</w:t>
            </w:r>
          </w:p>
        </w:tc>
        <w:tc>
          <w:tcPr/>
          <w:p>
            <w:pPr>
              <w:pStyle w:val="Compact"/>
              <w:jc w:val="left"/>
            </w:pPr>
            <w:r>
              <w:t xml:space="preserve">10/11</w:t>
            </w:r>
          </w:p>
        </w:tc>
        <w:tc>
          <w:tcPr/>
          <w:p>
            <w:pPr>
              <w:pStyle w:val="Compact"/>
              <w:jc w:val="left"/>
            </w:pPr>
            <w:r>
              <w:t xml:space="preserve">Method-fit guidance (suits / use with care / not suitable, with a recommended method); growth references with Use buttons; default fade of 5% a year; share count from market cap ÷ price; enterprise-value reconciliation; implausible default results flagged; year-by-year Base path; analyst-versus-scenario note.</w:t>
            </w:r>
          </w:p>
        </w:tc>
      </w:tr>
      <w:tr>
        <w:tc>
          <w:tcPr/>
          <w:p>
            <w:pPr>
              <w:pStyle w:val="Compact"/>
              <w:jc w:val="left"/>
            </w:pPr>
            <w:r>
              <w:t xml:space="preserve">2.23.0</w:t>
            </w:r>
          </w:p>
        </w:tc>
        <w:tc>
          <w:tcPr/>
          <w:p>
            <w:pPr>
              <w:pStyle w:val="Compact"/>
              <w:jc w:val="left"/>
            </w:pPr>
            <w:r>
              <w:t xml:space="preserve">10/13</w:t>
            </w:r>
          </w:p>
        </w:tc>
        <w:tc>
          <w:tcPr/>
          <w:p>
            <w:pPr>
              <w:pStyle w:val="Compact"/>
              <w:jc w:val="left"/>
            </w:pPr>
            <w:r>
              <w:t xml:space="preserve">Valuation starts from the furthest analyst year and keeps the exit multiple on the same basis, which stops a recovery being counted twice (the DEO case); earnings-dislocation detection and a “what you must believe” grid; “?” help on every Compare input and column; review fixes (P/FCF multiple pairing, fractional-year growth, implausible rows kept but not ranked, de-rating reference from peers or own history only, share-count guard); Valuation tab on the company page with out-of-date flags, return at the Plan price, links from thesis assumptions to valuation inputs and a question saved to Notes; prompt tracker-1.8; README for the repository.</w:t>
            </w:r>
          </w:p>
        </w:tc>
      </w:tr>
      <w:tr>
        <w:tc>
          <w:tcPr/>
          <w:p>
            <w:pPr>
              <w:pStyle w:val="Compact"/>
              <w:jc w:val="left"/>
            </w:pPr>
            <w:r>
              <w:t xml:space="preserve">2.23.1</w:t>
            </w:r>
          </w:p>
        </w:tc>
        <w:tc>
          <w:tcPr/>
          <w:p>
            <w:pPr>
              <w:pStyle w:val="Compact"/>
              <w:jc w:val="left"/>
            </w:pPr>
            <w:r>
              <w:t xml:space="preserve">10/13</w:t>
            </w:r>
          </w:p>
        </w:tc>
        <w:tc>
          <w:tcPr/>
          <w:p>
            <w:pPr>
              <w:pStyle w:val="Compact"/>
              <w:jc w:val="left"/>
            </w:pPr>
            <w:r>
              <w:t xml:space="preserve">Conclusion shown as a highlighted block; the result states which fiscal year the exit EPS belongs to; help on Save snapshot; the saved-snapshot list shows method, Base return or price in local time; Guide section on what gets saved.</w:t>
            </w:r>
          </w:p>
        </w:tc>
      </w:tr>
      <w:tr>
        <w:tc>
          <w:tcPr/>
          <w:p>
            <w:pPr>
              <w:pStyle w:val="Compact"/>
              <w:jc w:val="left"/>
            </w:pPr>
            <w:r>
              <w:t xml:space="preserve">2.24.0</w:t>
            </w:r>
          </w:p>
        </w:tc>
        <w:tc>
          <w:tcPr/>
          <w:p>
            <w:pPr>
              <w:pStyle w:val="Compact"/>
              <w:jc w:val="left"/>
            </w:pPr>
            <w:r>
              <w:t xml:space="preserve">10/14</w:t>
            </w:r>
          </w:p>
        </w:tc>
        <w:tc>
          <w:tcPr/>
          <w:p>
            <w:pPr>
              <w:pStyle w:val="Compact"/>
              <w:jc w:val="left"/>
            </w:pPr>
            <w:r>
              <w:t xml:space="preserve">Valuation records: re-importing a ticker replaces earlier imports nothing uses, any saved record can be deleted after confirmation (data still used by a saved result is protected), and unused imports can be cleared; English / Chinese switch for the valuation lab (Guide, help bubbles, conclusion and notes); the question to write down is shown on the company page for every company, editable, with an optional look-again date; fixes to the lifecycle and API tests; README rewritten for GitHub with an app overview.</w:t>
            </w:r>
          </w:p>
        </w:tc>
      </w:tr>
      <w:tr>
        <w:tc>
          <w:tcPr/>
          <w:p>
            <w:pPr>
              <w:pStyle w:val="Compact"/>
              <w:jc w:val="left"/>
            </w:pPr>
            <w:r>
              <w:t>2.25.0</w:t>
            </w:r>
          </w:p>
        </w:tc>
        <w:tc>
          <w:tcPr/>
          <w:p>
            <w:pPr>
              <w:pStyle w:val="Compact"/>
              <w:jc w:val="left"/>
            </w:pPr>
            <w:r>
              <w:t>10/17</w:t>
            </w:r>
          </w:p>
        </w:tc>
        <w:tc>
          <w:tcPr/>
          <w:p>
            <w:pPr>
              <w:pStyle w:val="Compact"/>
              <w:jc w:val="left"/>
            </w:pPr>
            <w:r>
              <w:t>Other currencies (0883.HK: HKD price, CNY accounts) converted at one spot rate and labelled; Fundamentals tab regrouped into what you pay / what you get / the record; Overview digest titles match their sections, tiles jump to them; sort by best/worst P&amp;L and weight.</w:t>
            </w:r>
          </w:p>
        </w:tc>
      </w:tr>
      <w:tr>
        <w:tc>
          <w:tcPr/>
          <w:p>
            <w:pPr>
              <w:pStyle w:val="Compact"/>
              <w:jc w:val="left"/>
            </w:pPr>
            <w:r>
              <w:t>2.26.0</w:t>
            </w:r>
          </w:p>
        </w:tc>
        <w:tc>
          <w:tcPr/>
          <w:p>
            <w:pPr>
              <w:pStyle w:val="Compact"/>
              <w:jc w:val="left"/>
            </w:pPr>
            <w:r>
              <w:t>10/17</w:t>
            </w:r>
          </w:p>
        </w:tc>
        <w:tc>
          <w:tcPr/>
          <w:p>
            <w:pPr>
              <w:pStyle w:val="Compact"/>
              <w:jc w:val="left"/>
            </w:pPr>
            <w:r>
              <w:t>Withdrawn. Analyst-consensus columns in the Fundamentals tables and a bookmark button for saving readings were tried and removed in 2.27.0.</w:t>
            </w:r>
          </w:p>
        </w:tc>
      </w:tr>
      <w:tr>
        <w:tc>
          <w:tcPr/>
          <w:p>
            <w:pPr>
              <w:pStyle w:val="Compact"/>
              <w:jc w:val="left"/>
            </w:pPr>
            <w:r>
              <w:t>2.27.0</w:t>
            </w:r>
          </w:p>
        </w:tc>
        <w:tc>
          <w:tcPr/>
          <w:p>
            <w:pPr>
              <w:pStyle w:val="Compact"/>
              <w:jc w:val="left"/>
            </w:pPr>
            <w:r>
              <w:t>10/17</w:t>
            </w:r>
          </w:p>
        </w:tc>
        <w:tc>
          <w:tcPr/>
          <w:p>
            <w:pPr>
              <w:pStyle w:val="Compact"/>
              <w:jc w:val="left"/>
            </w:pPr>
            <w:r>
              <w:t>Valuation lab "back" opens the same company on its Valuation tab (Overview if none). Final design version.</w:t>
            </w:r>
          </w:p>
        </w:tc>
      </w:tr>
    </w:tbl>
    <w:p>
      <w:pPr>
        <w:pStyle w:val="BodyText"/>
      </w:pPr>
      <w:r>
        <w:t xml:space="preserve">No separate archive exists for 2.16.0 or 2.17.0 (the first valuation lab, described under 2.18.0), nor for 2.22.x, which was an external review copy and is not part of this line. Dates for 2.18.0 to 2.20.0 are approximate.</w:t>
      </w:r>
    </w:p>
    <w:bookmarkEnd w:id="20"/>
    <w:sectPr w:rsidR="00FC693F" w:rsidRPr="0006063C" w:rsidSect="00034616">
      <w:pgSz w:h="12240" w:orient="landscape" w:w="15840"/>
      <w:pgMar w:bottom="1008" w:footer="720" w:gutter="0" w:header="720" w:left="1008" w:right="1008" w:top="1008"/>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embedSystemFonts/>
  <w:doNotTrackMoves/>
  <w:drawingGridHorizontalSpacing w:val="360"/>
  <w:drawingGridVerticalSpacing w:val="360"/>
  <w:displayHorizontalDrawingGridEvery w:val="0"/>
  <w:displayVerticalDrawingGridEvery w:val="0"/>
  <w:zoom w:val="bestFit"/>
  <w:proofState w:grammar="clean" w:spelling="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eastAsia="ja-JP"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Calibri" w:hAnsi="Calibri"/>
      <w:sz w:val="20"/>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SourceCode" w:type="paragraph">
    <w:name w:val="Source Code"/>
    <w:basedOn w:val="Normal"/>
    <w:link w:val="VerbatimChar"/>
    <w:pPr>
      <w:wordWrap w:val="off"/>
    </w:pPr>
  </w:style>
  <w:style w:customStyle="1" w:styleId="KeywordTok" w:type="character">
    <w:name w:val="KeywordTok"/>
    <w:basedOn w:val="VerbatimChar"/>
    <w:rPr>
      <w:color w:val="007020"/>
      <w:b/>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color w:val="008000"/>
      <w:b/>
    </w:rPr>
  </w:style>
  <w:style w:customStyle="1" w:styleId="CommentTok" w:type="character">
    <w:name w:val="CommentTok"/>
    <w:basedOn w:val="VerbatimChar"/>
    <w:rPr>
      <w:color w:val="60a0b0"/>
      <w:i/>
    </w:rPr>
  </w:style>
  <w:style w:customStyle="1" w:styleId="DocumentationTok" w:type="character">
    <w:name w:val="DocumentationTok"/>
    <w:basedOn w:val="VerbatimChar"/>
    <w:rPr>
      <w:color w:val="ba2121"/>
      <w:i/>
    </w:rPr>
  </w:style>
  <w:style w:customStyle="1" w:styleId="AnnotationTok" w:type="character">
    <w:name w:val="AnnotationTok"/>
    <w:basedOn w:val="VerbatimChar"/>
    <w:rPr>
      <w:color w:val="60a0b0"/>
      <w:b/>
      <w:i/>
    </w:rPr>
  </w:style>
  <w:style w:customStyle="1" w:styleId="CommentVarTok" w:type="character">
    <w:name w:val="CommentVarTok"/>
    <w:basedOn w:val="VerbatimChar"/>
    <w:rPr>
      <w:color w:val="60a0b0"/>
      <w:b/>
      <w:i/>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color w:val="007020"/>
      <w:b/>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color w:val="60a0b0"/>
      <w:b/>
      <w:i/>
    </w:rPr>
  </w:style>
  <w:style w:customStyle="1" w:styleId="WarningTok" w:type="character">
    <w:name w:val="WarningTok"/>
    <w:basedOn w:val="VerbatimChar"/>
    <w:rPr>
      <w:color w:val="60a0b0"/>
      <w:b/>
      <w:i/>
    </w:rPr>
  </w:style>
  <w:style w:customStyle="1" w:styleId="AlertTok" w:type="character">
    <w:name w:val="AlertTok"/>
    <w:basedOn w:val="VerbatimChar"/>
    <w:rPr>
      <w:color w:val="ff0000"/>
      <w:b/>
    </w:rPr>
  </w:style>
  <w:style w:customStyle="1" w:styleId="ErrorTok" w:type="character">
    <w:name w:val="ErrorTok"/>
    <w:basedOn w:val="VerbatimChar"/>
    <w:rPr>
      <w:color w:val="ff0000"/>
      <w:b/>
    </w:rPr>
  </w:style>
  <w:style w:customStyle="1" w:styleId="NormalTok" w:type="character">
    <w:name w:val="NormalTok"/>
    <w:basedOn w:val="VerbatimChar"/>
    <w:rPr/>
  </w:style>
  <w:style w:customStyle="1" w:styleId="KeywordTok" w:type="character">
    <w:name w:val="KeywordTok"/>
    <w:basedOn w:val="VerbatimChar"/>
    <w:rPr>
      <w:color w:val="007020"/>
      <w:b/>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color w:val="008000"/>
      <w:b/>
    </w:rPr>
  </w:style>
  <w:style w:customStyle="1" w:styleId="CommentTok" w:type="character">
    <w:name w:val="CommentTok"/>
    <w:basedOn w:val="VerbatimChar"/>
    <w:rPr>
      <w:color w:val="60a0b0"/>
      <w:i/>
    </w:rPr>
  </w:style>
  <w:style w:customStyle="1" w:styleId="DocumentationTok" w:type="character">
    <w:name w:val="DocumentationTok"/>
    <w:basedOn w:val="VerbatimChar"/>
    <w:rPr>
      <w:color w:val="ba2121"/>
      <w:i/>
    </w:rPr>
  </w:style>
  <w:style w:customStyle="1" w:styleId="AnnotationTok" w:type="character">
    <w:name w:val="AnnotationTok"/>
    <w:basedOn w:val="VerbatimChar"/>
    <w:rPr>
      <w:color w:val="60a0b0"/>
      <w:b/>
      <w:i/>
    </w:rPr>
  </w:style>
  <w:style w:customStyle="1" w:styleId="CommentVarTok" w:type="character">
    <w:name w:val="CommentVarTok"/>
    <w:basedOn w:val="VerbatimChar"/>
    <w:rPr>
      <w:color w:val="60a0b0"/>
      <w:b/>
      <w:i/>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color w:val="007020"/>
      <w:b/>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color w:val="60a0b0"/>
      <w:b/>
      <w:i/>
    </w:rPr>
  </w:style>
  <w:style w:customStyle="1" w:styleId="WarningTok" w:type="character">
    <w:name w:val="WarningTok"/>
    <w:basedOn w:val="VerbatimChar"/>
    <w:rPr>
      <w:color w:val="60a0b0"/>
      <w:b/>
      <w:i/>
    </w:rPr>
  </w:style>
  <w:style w:customStyle="1" w:styleId="AlertTok" w:type="character">
    <w:name w:val="AlertTok"/>
    <w:basedOn w:val="VerbatimChar"/>
    <w:rPr>
      <w:color w:val="ff0000"/>
      <w:b/>
    </w:rPr>
  </w:style>
  <w:style w:customStyle="1" w:styleId="ErrorTok" w:type="character">
    <w:name w:val="ErrorTok"/>
    <w:basedOn w:val="VerbatimChar"/>
    <w:rPr>
      <w:color w:val="ff0000"/>
      <w:b/>
    </w:rPr>
  </w:style>
  <w:style w:customStyle="1" w:styleId="NormalTok" w:type="character">
    <w:name w:val="NormalTok"/>
    <w:basedOn w:val="VerbatimChar"/>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2026-10-10T06:49:01Z</dcterms:created>
  <dcterms:modified xsi:type="dcterms:W3CDTF">2026-10-10T06:49:01Z</dcterms:modified>
</cp:coreProperties>
</file>

<file path=docProps/custom.xml><?xml version="1.0" encoding="utf-8"?>
<Properties xmlns="http://schemas.openxmlformats.org/officeDocument/2006/custom-properties" xmlns:vt="http://schemas.openxmlformats.org/officeDocument/2006/docPropsVTypes"/>
</file>