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估值模型重构规格（2.29.0）</w:t>
      </w:r>
    </w:p>
    <w:p>
      <w:pPr>
        <w:spacing w:after="60"/>
      </w:pPr>
      <w:r>
        <w:rPr>
          <w:b w:val="0"/>
          <w:sz w:val="20"/>
        </w:rPr>
        <w:t>目的：让“期间”和“指标”统一在财年上，所有数字只有一个出处。本文是规格，不含代码。你确认第 9 节的几个决定后，我再一次性实现。</w:t>
      </w:r>
    </w:p>
    <w:p>
      <w:pPr>
        <w:pStyle w:val="Heading1"/>
      </w:pPr>
      <w:r>
        <w:t>1. 现状：逻辑为什么散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6123"/>
      </w:tblGrid>
      <w:tr>
        <w:tc>
          <w:tcPr>
            <w:tcW w:type="dxa" w:w="3515"/>
            <w:shd w:val="clear" w:fill="DCE6F1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6123"/>
            <w:shd w:val="clear" w:fill="DCE6F1"/>
          </w:tcPr>
          <w:p>
            <w:r/>
            <w:r>
              <w:rPr>
                <w:b/>
              </w:rPr>
              <w:t>问题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t>数据源 valuation_adapter.py、valuation_references.enrich、valuation_context.fcf_anchors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t>起点数字分成多套，各有各的 id：annual:&lt;日期&gt;、ttm、consensus:0y / +1y、fcf:*、fcfsbc:*、revenue:*。哪个对应哪个财年，要靠 period_end 和标签推。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t>默认值：valuation_context.status_quo、pfcf_defaults、compare.build，加上前端 statusQuo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t>同一件事（默认起点、增长、倍数）在四个地方各算一遍，改一处容易漏另外三处。2.27.1 修 INTC 极端倍数时就得改两处。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t>期限：Assumptions.years 是整数；退出日 = anniversary(今天, N)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t>退出日和起点数字的财年期末没有关系。页面上那句“退出 EPS 对应期末比退出日晚 1.7 年，所以是前瞻倍数”就是这个错位的结果。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t>倍数参考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t>今天的倍数（TTM，trailing）、自身历史（财年末价格 ÷ 同年 EPS，trailing）、分析师年份（前瞻）混在一张表里，靠提示文字提醒。</w:t>
            </w:r>
          </w:p>
        </w:tc>
      </w:tr>
      <w:tr>
        <w:tc>
          <w:tcPr>
            <w:tcW w:type="dxa" w:w="3515"/>
          </w:tcPr>
          <w:p>
            <w:pPr>
              <w:spacing w:after="20"/>
            </w:pPr>
            <w:r/>
            <w:r>
              <w:t>增长率来源 growth_refs、valuation_link.analysis_row</w:t>
            </w:r>
          </w:p>
        </w:tc>
        <w:tc>
          <w:tcPr>
            <w:tcW w:type="dxa" w:w="6123"/>
          </w:tcPr>
          <w:p>
            <w:pPr>
              <w:spacing w:after="20"/>
            </w:pPr>
            <w:r/>
            <w:r>
              <w:t>增长来源的选择和“再推一次”的逻辑各有一份；P/FCF 默认取 EPS 增长，与总体现金流口径不一致。</w:t>
            </w:r>
          </w:p>
        </w:tc>
      </w:tr>
    </w:tbl>
    <w:p>
      <w:pPr>
        <w:spacing w:after="40"/>
      </w:pPr>
    </w:p>
    <w:p>
      <w:pPr>
        <w:pStyle w:val="Heading1"/>
      </w:pPr>
      <w:r>
        <w:t>2. 目标：一张期间表作为唯一数据源</w:t>
      </w:r>
    </w:p>
    <w:p>
      <w:pPr>
        <w:spacing w:after="60"/>
      </w:pPr>
      <w:r>
        <w:rPr>
          <w:b w:val="0"/>
        </w:rPr>
        <w:t>后端在每次 Import 时只建一次 period_table，存进 data 记录。之后所有功能只读它，不再各自推算。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371"/>
      </w:tblGrid>
      <w:tr>
        <w:tc>
          <w:tcPr>
            <w:tcW w:type="dxa" w:w="2268"/>
            <w:shd w:val="clear" w:fill="DCE6F1"/>
          </w:tcPr>
          <w:p>
            <w:r/>
            <w:r>
              <w:rPr>
                <w:b/>
              </w:rPr>
              <w:t>列（期间）</w:t>
            </w:r>
          </w:p>
        </w:tc>
        <w:tc>
          <w:tcPr>
            <w:tcW w:type="dxa" w:w="7370"/>
            <w:shd w:val="clear" w:fill="DCE6F1"/>
          </w:tcPr>
          <w:p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t>FY-3 … FY-1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t>已公布的财年（数据源给几年就有几年，通常 4 到 5 年）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t>TTM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t>最近四个已公布季度之和，只作参考列（今天的倍数、利润率），不作起点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t>FY0e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t>当前未结束的财年，分析师预期（含已公布季度）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t>FY1e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t>下一财年，分析师预期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t>FY2 … FYn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t>你的假设推出来的年份，只在估值时生成，不存进 data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6237"/>
      </w:tblGrid>
      <w:tr>
        <w:tc>
          <w:tcPr>
            <w:tcW w:type="dxa" w:w="3402"/>
            <w:shd w:val="clear" w:fill="DCE6F1"/>
          </w:tcPr>
          <w:p>
            <w:r/>
            <w:r>
              <w:rPr>
                <w:b/>
              </w:rPr>
              <w:t>行（指标）</w:t>
            </w:r>
          </w:p>
        </w:tc>
        <w:tc>
          <w:tcPr>
            <w:tcW w:type="dxa" w:w="6236"/>
            <w:shd w:val="clear" w:fill="DCE6F1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revenue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收入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ebitda、ebitda_margin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EBITDA 和利润率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eps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每股收益（稀释）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fcf、fcf_per_share、fcf_per_share_after_sbc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自由现金流（经营现金流 − 资本开支），每股，及扣除股权激励后每股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shares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股数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每个指标的 growth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相对前一列的增长率，直接放在表里（解决“增长率前后对应”）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t>每个格子的元数据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t>kind（actual / ttm / estimate / projected）、period_end、币种、来源、分析师人数、Low/High、口径（GAAP / adjusted 未核实）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 w:val="0"/>
        </w:rPr>
        <w:t>分析师只有 FY0e 和 FY1e 两年；这两列的 eps 和 revenue 有值，fcf 没有预期，所以 FY0e/FY1e 的 FCF 由“最近财年 FCF 乘以同年分析师收入增长”推出，格子标记为 derived（推算），页面上显示不同底色。</w:t>
      </w:r>
    </w:p>
    <w:p>
      <w:pPr>
        <w:pStyle w:val="Heading1"/>
      </w:pPr>
      <w:r>
        <w:t>3. 期限：退出在某个财年末</w:t>
      </w:r>
    </w:p>
    <w:p>
      <w:pPr>
        <w:pStyle w:val="ListBullet"/>
        <w:spacing w:after="20"/>
      </w:pPr>
      <w:r>
        <w:t>输入“持有年限”改成“退出财年”（下拉，例如 FY2029），旁边显示实际年数，如“约 3.2 年”。默认选离今天约 3 年的那个财年末。</w:t>
      </w:r>
    </w:p>
    <w:p>
      <w:pPr>
        <w:pStyle w:val="ListBullet"/>
        <w:spacing w:after="20"/>
      </w:pPr>
      <w:r>
        <w:t>年数 = (退出日 − 估值日) ÷ 365.25，可以是小数。收益率按这个年数年化。</w:t>
      </w:r>
    </w:p>
    <w:p>
      <w:pPr>
        <w:pStyle w:val="ListBullet"/>
        <w:spacing w:after="20"/>
      </w:pPr>
      <w:r>
        <w:t>退出时的指标 = 期间表里那一年的值。退出倍数统一为“退出财年末价格 ÷ 该财年指标”，也就是 trailing，和自身历史同口径，所以参考表里的“自身历史”可以直接用。</w:t>
      </w:r>
    </w:p>
    <w:p>
      <w:pPr>
        <w:pStyle w:val="ListBullet"/>
        <w:spacing w:after="20"/>
      </w:pPr>
      <w:r>
        <w:t>当前未结束的这一年（stub）直接用分析师全年预期，不拆分。</w:t>
      </w:r>
    </w:p>
    <w:p>
      <w:pPr>
        <w:pStyle w:val="ListBullet"/>
        <w:spacing w:after="20"/>
      </w:pPr>
      <w:r>
        <w:t>Bear / Bull 只作用于**你的假设年份**（FY2 起）的增长率，以及退出倍数、利润率；分析师给的 FY0e、FY1e 在三种情景里相同。分析师预期落空的情况由“你必须相信什么”表覆盖。</w:t>
      </w:r>
    </w:p>
    <w:p>
      <w:pPr>
        <w:pStyle w:val="ListBullet"/>
        <w:spacing w:after="20"/>
      </w:pPr>
      <w:r>
        <w:t>不做到季度：分析师只给两个季度，做到季度是假精确。</w:t>
      </w:r>
    </w:p>
    <w:p>
      <w:pPr>
        <w:pStyle w:val="Heading1"/>
      </w:pPr>
      <w:r>
        <w:t>4. 增长率的设定</w:t>
      </w:r>
    </w:p>
    <w:p>
      <w:pPr>
        <w:pStyle w:val="ListBullet"/>
        <w:spacing w:after="20"/>
      </w:pPr>
      <w:r>
        <w:t>起点列：默认 FY0e（有分析师覆盖时），没有覆盖时用最近已公布财年。TTM 不作起点。</w:t>
      </w:r>
    </w:p>
    <w:p>
      <w:pPr>
        <w:pStyle w:val="ListBullet"/>
        <w:spacing w:after="20"/>
      </w:pPr>
      <w:r>
        <w:t>“增长”输入 = 第一个由你推的年份的增长率，随后线性渐降到“渐降至”（默认 5%），退出年到达。默认值 = 最后一个分析师年份的增长率（例如 FY1e 相对 FY0e）。</w:t>
      </w:r>
    </w:p>
    <w:p>
      <w:pPr>
        <w:pStyle w:val="ListBullet"/>
        <w:spacing w:after="20"/>
      </w:pPr>
      <w:r>
        <w:t>P/E：沿用 EPS 路径。P/FCF：默认用**收入增长**（总体口径，且与 P/E 独立），并显示“退出时隐含自由现金流利润率”检查行；也可手动改选 EPS 增长。EV/EBITDA：收入路径 × 利润率。</w:t>
      </w:r>
    </w:p>
    <w:p>
      <w:pPr>
        <w:pStyle w:val="Heading1"/>
      </w:pPr>
      <w:r>
        <w:t>5. 谁读这张表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6577"/>
      </w:tblGrid>
      <w:tr>
        <w:tc>
          <w:tcPr>
            <w:tcW w:type="dxa" w:w="3061"/>
            <w:shd w:val="clear" w:fill="DCE6F1"/>
          </w:tcPr>
          <w:p>
            <w:r/>
            <w:r>
              <w:rPr>
                <w:b/>
              </w:rPr>
              <w:t>功能</w:t>
            </w:r>
          </w:p>
        </w:tc>
        <w:tc>
          <w:tcPr>
            <w:tcW w:type="dxa" w:w="6576"/>
            <w:shd w:val="clear" w:fill="DCE6F1"/>
          </w:tcPr>
          <w:p>
            <w:r/>
            <w:r>
              <w:rPr>
                <w:b/>
              </w:rPr>
              <w:t>改成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默认值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只有一个函数 defaults(table, method)；Compare 和页面都调用它；前端不再有兜底逻辑。极端倍数规则（&gt; 150× / 100× 不预填）放在这里。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参考倍数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三类明确标注：今天（trailing，TTM）、自身历史（trailing，财年末）、前瞻（FY0e、FY1e 上的今天倍数）。同口径的行与你选的起点一起高亮。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增长来源表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直接是期间表的增长行；选中的值高亮（页面颜色标识）。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“你必须相信什么”表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行：退出年指标的几种结果；列：参考倍数。逻辑不变，数据来自同一张表。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公司页 Valuation 标签（valuation_link）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读已保存结果里的 exit_fy 和 years。新增过期原因：新财年已公布，期间表的列已经右移。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t>Compare</w:t>
            </w:r>
          </w:p>
        </w:tc>
        <w:tc>
          <w:tcPr>
            <w:tcW w:type="dxa" w:w="6576"/>
          </w:tcPr>
          <w:p>
            <w:pPr>
              <w:spacing w:after="20"/>
            </w:pPr>
            <w:r/>
            <w:r>
              <w:t>每家公司在“离目标日期最近的财年末”退出，表里显示各自的退出财年和年数，收益年化后可比。</w:t>
            </w:r>
          </w:p>
        </w:tc>
      </w:tr>
    </w:tbl>
    <w:p>
      <w:pPr>
        <w:spacing w:after="40"/>
      </w:pPr>
    </w:p>
    <w:p>
      <w:pPr>
        <w:pStyle w:val="Heading1"/>
      </w:pPr>
      <w:r>
        <w:t>6. 页面</w:t>
      </w:r>
    </w:p>
    <w:p>
      <w:pPr>
        <w:pStyle w:val="ListBullet"/>
        <w:spacing w:after="20"/>
      </w:pPr>
      <w:r>
        <w:t>“1 · What analysts expect”改成增长阶梯表：行是 EPS、收入、FCF/股，列是上一财年、TTM、FY0e、FY1e，每格显示数值和相对前一列的增长。Low/High 和分析师人数折叠到明细。</w:t>
      </w:r>
    </w:p>
    <w:p>
      <w:pPr>
        <w:pStyle w:val="ListBullet"/>
        <w:spacing w:after="20"/>
      </w:pPr>
      <w:r>
        <w:t>估值输入区：起点列、增长、渐降至、退出财年、退出倍数、利润率等，选中的参考行（倍数和增长率）用主题色高亮，输入不在表里时显示 “Your own value”。</w:t>
      </w:r>
    </w:p>
    <w:p>
      <w:pPr>
        <w:pStyle w:val="ListBullet"/>
        <w:spacing w:after="20"/>
      </w:pPr>
      <w:r>
        <w:t>逐年表（Year by year）：分析师年份和你推的年份底色不同，退出年一行加粗。</w:t>
      </w:r>
    </w:p>
    <w:p>
      <w:pPr>
        <w:pStyle w:val="ListBullet"/>
        <w:spacing w:after="20"/>
      </w:pPr>
      <w:r>
        <w:t>术语保持惯例：trailing / TTM，不另起名字；悬停说明里解释一句 TTM = 最近四个已公布季度。</w:t>
      </w:r>
    </w:p>
    <w:p>
      <w:pPr>
        <w:pStyle w:val="Heading1"/>
      </w:pPr>
      <w:r>
        <w:t>7. 数据与迁移</w:t>
      </w:r>
    </w:p>
    <w:p>
      <w:pPr>
        <w:pStyle w:val="ListBullet"/>
        <w:spacing w:after="20"/>
      </w:pPr>
      <w:r>
        <w:t>formula_version 升到 valuation-v4。Assumptions 里 years（整数）→ exit_fy（财年末日期），anchor_id → start_id（期间列 id）。</w:t>
      </w:r>
    </w:p>
    <w:p>
      <w:pPr>
        <w:pStyle w:val="ListBullet"/>
        <w:spacing w:after="20"/>
      </w:pPr>
      <w:r>
        <w:t>升级时，valuation.db 中非 v4 的记录不再读取：启动时先备份为 valuation.v3.bak.db，再清空旧记录（你已确认可以删）。workbench.db 里的 assumption_drivers 只存输入名称（增长、利润率、退出倍数、股数、净债务），不受影响。</w:t>
      </w:r>
    </w:p>
    <w:p>
      <w:pPr>
        <w:pStyle w:val="ListBullet"/>
        <w:spacing w:after="20"/>
      </w:pPr>
      <w:r>
        <w:t>工作台的历史分析（thesis、reviews）不受影响。</w:t>
      </w:r>
    </w:p>
    <w:p>
      <w:pPr>
        <w:pStyle w:val="Heading1"/>
      </w:pPr>
      <w:r>
        <w:t>8. 测试与验证</w:t>
      </w:r>
    </w:p>
    <w:p>
      <w:pPr>
        <w:pStyle w:val="ListBullet"/>
        <w:spacing w:after="20"/>
      </w:pPr>
      <w:r>
        <w:t>核心单测（我这边可跑）：期间表构建，覆盖 6 月财年（MSFT）、12 月财年、无分析师覆盖、亏损公司、非美元（0883.HK）；退出日期与年数；三种方法与手算结果一致；极端倍数不预填；Compare 不同财年末；旧记录迁移。</w:t>
      </w:r>
    </w:p>
    <w:p>
      <w:pPr>
        <w:pStyle w:val="ListBullet"/>
        <w:spacing w:after="20"/>
      </w:pPr>
      <w:r>
        <w:t>UI 冒烟测试和 Playwright（带假数据）：高亮、增长阶梯表、退出财年下拉。</w:t>
      </w:r>
    </w:p>
    <w:p>
      <w:pPr>
        <w:pStyle w:val="ListBullet"/>
        <w:spacing w:after="20"/>
      </w:pPr>
      <w:r>
        <w:t>我这边做不到：真实的 Yahoo 数据（沙箱联不了）和后端 HTTP 测试。你在本机：跑 pytest，并用 MSFT、DEO、0883.HK、INTC 各走一遍（我会给核对清单）。</w:t>
      </w:r>
    </w:p>
    <w:p>
      <w:pPr>
        <w:pStyle w:val="Heading1"/>
      </w:pPr>
      <w:r>
        <w:t>9. 需要你确认的决定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5953"/>
        <w:gridCol w:w="3118"/>
      </w:tblGrid>
      <w:tr>
        <w:tc>
          <w:tcPr>
            <w:tcW w:type="dxa" w:w="567"/>
            <w:shd w:val="clear" w:fill="DCE6F1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5953"/>
            <w:shd w:val="clear" w:fill="DCE6F1"/>
          </w:tcPr>
          <w:p>
            <w:r/>
            <w:r>
              <w:rPr>
                <w:b/>
              </w:rPr>
              <w:t>决定</w:t>
            </w:r>
          </w:p>
        </w:tc>
        <w:tc>
          <w:tcPr>
            <w:tcW w:type="dxa" w:w="3118"/>
            <w:shd w:val="clear" w:fill="DCE6F1"/>
          </w:tcPr>
          <w:p>
            <w:r/>
            <w:r>
              <w:rPr>
                <w:b/>
              </w:rPr>
              <w:t>我的建议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t>1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t>分析师年份在 Bear / Base / Bull 中固定不变，只有你推的年份和倍数变化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t>2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t>TTM 只作参考列，不作起点（P/FCF 改从最近财年起算，FY0e/FY1e 由分析师收入增长推算）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t>3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t>Compare：每家公司取离目标日期最近的财年末退出，表里显示各自年数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t>4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t>P/FCF 默认增长用收入增长，并加“隐含 FCF 利润率”检查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t>同意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t>5</w:t>
            </w:r>
          </w:p>
        </w:tc>
        <w:tc>
          <w:tcPr>
            <w:tcW w:type="dxa" w:w="5953"/>
          </w:tcPr>
          <w:p>
            <w:pPr>
              <w:spacing w:after="20"/>
            </w:pPr>
            <w:r/>
            <w:r>
              <w:t>升级时备份并清空旧估值记录</w:t>
            </w:r>
          </w:p>
        </w:tc>
        <w:tc>
          <w:tcPr>
            <w:tcW w:type="dxa" w:w="3118"/>
          </w:tcPr>
          <w:p>
            <w:pPr>
              <w:spacing w:after="20"/>
            </w:pPr>
            <w:r/>
            <w:r>
              <w:t>同意</w:t>
            </w:r>
          </w:p>
        </w:tc>
      </w:tr>
    </w:tbl>
    <w:p>
      <w:pPr>
        <w:spacing w:after="40"/>
      </w:pPr>
    </w:p>
    <w:p>
      <w:pPr>
        <w:pStyle w:val="Heading1"/>
      </w:pPr>
      <w:r>
        <w:t>10. 实施顺序（一个版本交付）</w:t>
      </w:r>
    </w:p>
    <w:p>
      <w:pPr>
        <w:pStyle w:val="ListBullet"/>
        <w:spacing w:after="20"/>
      </w:pPr>
      <w:r>
        <w:t>期间表构建与测试</w:t>
      </w:r>
    </w:p>
    <w:p>
      <w:pPr>
        <w:pStyle w:val="ListBullet"/>
        <w:spacing w:after="20"/>
      </w:pPr>
      <w:r>
        <w:t>三种估值方法改为按期间表、退出财年计算，并测试</w:t>
      </w:r>
    </w:p>
    <w:p>
      <w:pPr>
        <w:pStyle w:val="ListBullet"/>
        <w:spacing w:after="20"/>
      </w:pPr>
      <w:r>
        <w:t>默认值、参考倍数、Compare 统一</w:t>
      </w:r>
    </w:p>
    <w:p>
      <w:pPr>
        <w:pStyle w:val="ListBullet"/>
        <w:spacing w:after="20"/>
      </w:pPr>
      <w:r>
        <w:t>公司页联动与过期判断</w:t>
      </w:r>
    </w:p>
    <w:p>
      <w:pPr>
        <w:pStyle w:val="ListBullet"/>
        <w:spacing w:after="20"/>
      </w:pPr>
      <w:r>
        <w:t>前端：增长阶梯表、输入区、高亮、逐年表</w:t>
      </w:r>
    </w:p>
    <w:p>
      <w:pPr>
        <w:pStyle w:val="ListBullet"/>
        <w:spacing w:after="20"/>
      </w:pPr>
      <w:r>
        <w:t>迁移、DESIGN.md、README、版本历史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