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/>
        <w:jc w:val="center"/>
      </w:pPr>
      <w:r>
        <w:rPr>
          <w:rFonts w:ascii="Malgun Gothic" w:hAnsi="Malgun Gothic" w:eastAsia="Malgun Gothic"/>
          <w:b/>
          <w:sz w:val="36"/>
        </w:rPr>
        <w:t>영 업 양 수 도 계 약 서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양도인 최형섭(이하 "갑")과 양수인 오윤희(이하 "을")는 열정국밥 중화점의 영업권, 시설, 거래관계 및 영업 운영에 필요한 일체 권리·자산을 포괄적으로 이전하기 위하여 다음과 같이 계약을 체결한다.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814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334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대상 영업</w:t>
            </w:r>
          </w:p>
        </w:tc>
        <w:tc>
          <w:tcPr>
            <w:tcW w:type="dxa" w:w="833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열정국밥 중화점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사업자등록번호</w:t>
            </w:r>
          </w:p>
        </w:tc>
        <w:tc>
          <w:tcPr>
            <w:tcW w:type="dxa" w:w="833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370-37-00939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소재지</w:t>
            </w:r>
          </w:p>
        </w:tc>
        <w:tc>
          <w:tcPr>
            <w:tcW w:type="dxa" w:w="833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서울특별시 중랑구 봉화산로27길 8, 1층 (중화동) / 중화동 90-23 외 1필지 1층 우측점포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업태·종목</w:t>
            </w:r>
          </w:p>
        </w:tc>
        <w:tc>
          <w:tcPr>
            <w:tcW w:type="dxa" w:w="833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음식점업 / 국밥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양도 범위</w:t>
            </w:r>
          </w:p>
        </w:tc>
        <w:tc>
          <w:tcPr>
            <w:tcW w:type="dxa" w:w="833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영업권, 상호 사용 관련 권리, 거래처, 집기·비품 일체, 인테리어, 레시피, 영업 노하우, 임차권 이전 협조, 온라인 채널 운영권한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건물 면적</w:t>
            </w:r>
          </w:p>
        </w:tc>
        <w:tc>
          <w:tcPr>
            <w:tcW w:type="dxa" w:w="833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약 61.28㎡ (철근콘크리트구조)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제1조 [계약의 성격 및 포괄양수도]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본 계약은 부가가치세법상 사업의 포괄양수도 요건을 충족하는 것을 목적으로 하며, "갑"은 사업장의 인적·물적 조직 및 영업상 필요한 권리·자료를 "을"에게 포괄 이전한다.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"을"은 개인 명의로 사업자등록을 신청하며, 신청 시 본 계약서를 첨부하여 양수도 사실을 신고한다.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"갑"은 "을"의 사업자등록 완료 전까지 임의로 폐업신고를 하지 않으며, "을"의 사업자등록 완료 후 즉시 폐업신고 및 필요한 후속 신고에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세무관청이 포괄양수도에 해당하지 않는다고 판단하여 부가가치세 또는 가산세가 발생하는 경우, 그 귀책사유가 있는 당사자가 이를 부담한다.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제2조 [양수도 대금 및 지급]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권리금은 금 팔천만원정(₩80,000,000)으로 하며, 부가가치세는 별도로 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부가가치세가 과세되는 경우 부가가치세는 금 팔백만원정(₩8,000,000)으로 하며, 세금계산서 발행 및 대금 정산은 관련 세법에 따른다.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계약금은 금 팔백만원정(₩8,000,000)으로 하며, 본 계약 체결 전 이미 지급 완료된 것으로 확인한다.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중도금 및 잔금 지급일은 쌍방이 별도 합의하여 아래 지급표에 기재하며, 잔금 지급과 동시에 영업 인도 및 권한 이전을 완료한다.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361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324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2551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지급일</w:t>
            </w:r>
          </w:p>
        </w:tc>
        <w:tc>
          <w:tcPr>
            <w:tcW w:type="dxa" w:w="3855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36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계약금</w:t>
            </w:r>
          </w:p>
        </w:tc>
        <w:tc>
          <w:tcPr>
            <w:tcW w:type="dxa" w:w="232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₩8,000,000</w:t>
            </w:r>
          </w:p>
        </w:tc>
        <w:tc>
          <w:tcPr>
            <w:tcW w:type="dxa" w:w="255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지급 완료</w:t>
            </w:r>
          </w:p>
        </w:tc>
        <w:tc>
          <w:tcPr>
            <w:tcW w:type="dxa" w:w="385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기지급 계약금으로 본다</w:t>
            </w:r>
          </w:p>
        </w:tc>
      </w:tr>
      <w:tr>
        <w:tc>
          <w:tcPr>
            <w:tcW w:type="dxa" w:w="136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중도금</w:t>
            </w:r>
          </w:p>
        </w:tc>
        <w:tc>
          <w:tcPr>
            <w:tcW w:type="dxa" w:w="232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 xml:space="preserve">₩                 </w:t>
            </w:r>
          </w:p>
        </w:tc>
        <w:tc>
          <w:tcPr>
            <w:tcW w:type="dxa" w:w="255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2026년     월     일</w:t>
            </w:r>
          </w:p>
        </w:tc>
        <w:tc>
          <w:tcPr>
            <w:tcW w:type="dxa" w:w="385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쌍방 합의 후 기재</w:t>
            </w:r>
          </w:p>
        </w:tc>
      </w:tr>
      <w:tr>
        <w:tc>
          <w:tcPr>
            <w:tcW w:type="dxa" w:w="136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잔금</w:t>
            </w:r>
          </w:p>
        </w:tc>
        <w:tc>
          <w:tcPr>
            <w:tcW w:type="dxa" w:w="232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 xml:space="preserve">₩                 </w:t>
            </w:r>
          </w:p>
        </w:tc>
        <w:tc>
          <w:tcPr>
            <w:tcW w:type="dxa" w:w="255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2026년     월     일</w:t>
            </w:r>
          </w:p>
        </w:tc>
        <w:tc>
          <w:tcPr>
            <w:tcW w:type="dxa" w:w="385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영업 인도·서류·권한 이전과 동시 이행</w:t>
            </w:r>
          </w:p>
        </w:tc>
      </w:tr>
      <w:tr>
        <w:tc>
          <w:tcPr>
            <w:tcW w:type="dxa" w:w="136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VAT</w:t>
            </w:r>
          </w:p>
        </w:tc>
        <w:tc>
          <w:tcPr>
            <w:tcW w:type="dxa" w:w="232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₩8,000,000</w:t>
            </w:r>
          </w:p>
        </w:tc>
        <w:tc>
          <w:tcPr>
            <w:tcW w:type="dxa" w:w="255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세금계산서 발행 시</w:t>
            </w:r>
          </w:p>
        </w:tc>
        <w:tc>
          <w:tcPr>
            <w:tcW w:type="dxa" w:w="385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포괄양수도 인정 시 미부과 가능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제3조 [양도 대상 자산 및 인수인계]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"갑"은 매장 내 주방기기, 냉장·냉동 설비, 홀 가구, 식기류, 간판, POS 주변기기, CCTV·보안설비, 소모품, 재고, 인테리어 시설물 등 집기·비품 일체를 현 상태 기준으로 "을"에게 양도한다.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"갑"은 거래처, 식재료·포장재 공급처, 배달대행사, 본사 담당자, 렌탈·리스·보안·통신 업체 연락처 및 계약조건을 인수일까지 목록으로 제공한다.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"갑"은 레시피, 조리 프로세스, 영업 노하우, 메뉴·가격표, POS 메뉴 데이터, 배달앱 운영 설정, 광고 설정 및 정산 관련 정보를 성실히 인수인계한다.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양도 대상 집기·비품 및 재고 목록은 별첨으로 작성하고, 인수일에 쌍방 입회하에 최종 확인한다.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제4조 [인덕션 교체 특약]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"갑"은 잔금 지급 및 영업 인도 전까지 현재 사용 중인 가스 조리설비를 인덕션 조리기기 8개로 교체 완료하여야 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교체 비용, 설치비, 기존 가스설비 철거 또는 안전조치 비용은 전액 "갑"이 부담한다.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교체된 인덕션 8개는 본 계약의 양도 대상 집기·비품에 포함되며, 정상 작동 상태로 인도되어야 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교체 미완료 또는 정상 작동 불가 시 "을"은 잔금 지급 또는 영업 인수를 거절할 수 있고, 이로 인한 지연은 "갑"의 귀책으로 본다.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제5조 [양도인의 적극 협조 의무]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"갑"은 "을"의 사업자등록, 영업자 지위승계, 임대차 승계, 본사 가맹계약 승계, 카드·POS·배달앱·온라인 채널 전환에 필요한 서류 제출, 본인확인, 동행, 전자서명 및 연락 응대에 적극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"갑"은 계약일에 기존 사업자등록증 사본, 최근 6개월 부가세 신고자료, POS 매출자료, 영업신고증 원본 또는 사본, 임대차계약 관련 자료, 행정처분·위생점검 관련 자료, 국세·지방세 완납증명서, 임대료·관리비 완납 확인자료를 제공한다.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"갑"은 "을"의 사업자등록 신청 전 본 계약이 체결되어야 함을 확인하고, "을"의 사업자등록 완료 전 폐업신고 금지 의무를 부담하며, 업체정보 삭제, 계정 해지, 정산계좌 임의 변경 등 포괄양수도 요건 또는 영업 연속성을 해치는 행위를 하지 않는다.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"갑"은 임대인 최승일로부터 임차권 양도 또는 "을" 명의 신규 임대차계약 체결에 관한 동의를 얻기 위해 "을"과 함께 임대인을 방문하거나 필요한 확인서·동의서 작성에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⑤ "갑"은 인수일 전후 14일 동안 매장 운영 안정화를 위하여 조리, 발주, 배달앱 운영, POS 사용, 정산 확인, 거래처 연결에 관하여 합리적인 범위 내에서 무상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⑥ "갑"은 협조 요청을 받은 때로부터 24시간 이내에 응답하고, 본인 인증·전자서명·방문 동행이 필요한 경우 쌍방이 합의한 일정에 성실히 참석한다.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⑦ "갑"의 협조 지연 또는 거부로 사업자등록, 영업신고, 정산계좌 변경, 온라인 채널 권한 이전이 지연되어 "을"에게 손해가 발생한 경우 "갑"은 그 손해를 배상한다.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531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협조 항목</w:t>
            </w:r>
          </w:p>
        </w:tc>
        <w:tc>
          <w:tcPr>
            <w:tcW w:type="dxa" w:w="4649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양도자 적극 협조사항</w:t>
            </w:r>
          </w:p>
        </w:tc>
        <w:tc>
          <w:tcPr>
            <w:tcW w:type="dxa" w:w="1814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완료 시점</w:t>
            </w:r>
          </w:p>
        </w:tc>
        <w:tc>
          <w:tcPr>
            <w:tcW w:type="dxa" w:w="2098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위반 시 효과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사업자등록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사업자등록증 사본, 포괄양수도 확인자료, 사업자등록 신청 첨부자료 제공, 사업자등록 완료 전 폐업신고 금지 및 완료 후 폐업신고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사업자등록 전후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VAT·가산세 발생 시 귀책 부담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영업신고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영업신고증 원본 인계, 중랑구청 영업자 지위승계 신고 동행·서명·본인확인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D-Day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영업개시 지연 손해 배상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임대차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임대인 동의 동행, 임차권 양도 동의서 또는 을 명의 임대차계약 체결 협조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계약 전후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동의 불가 시 해제·계약금 반환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본사·가맹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본사 양도양수 승인 요청, 을 명의 가맹계약 승계, 교육·가맹비 추가 발생 여부 확인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인수 전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승계 불가 시 해제 가능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온라인 채널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네이버플레이스 주인 권한 위임, 스마트주문·네이버페이 해지/전환, 카카오맵·구글맵 권한 이전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사업자등록 직후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삭제·거부 시 귀책 해제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배달·정산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배달의민족, 쿠팡이츠, 요기요, 땡겨요, 배달대행사 계정·정산계좌 전환, 광고 세팅·리뷰 유지 협조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D-Day 전후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정산 누락분 즉시 반환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시설·계약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전기, 수도, 도시가스, 인터넷, 전화, CCTV, 보안, 정수기·렌탈 승계 또는 해지 협조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D-Day 전후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숨은 위약금 양도인 부담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운영자료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거래처, 계정·비밀번호, 메뉴·가격, 레시피, 발주처, 포장재, 배달 가능지역, 대행 단가 인수인계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인수일까지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미제공 시 잔금 보류 가능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직원·보험</w:t>
            </w:r>
          </w:p>
        </w:tc>
        <w:tc>
          <w:tcPr>
            <w:tcW w:type="dxa" w:w="4649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직원 명단, 임금·퇴직금 정산, 4대보험 상태, 화재보험·영업배상보험 승계 가능 여부 고지</w:t>
            </w:r>
          </w:p>
        </w:tc>
        <w:tc>
          <w:tcPr>
            <w:tcW w:type="dxa" w:w="1814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인수 전</w:t>
            </w:r>
          </w:p>
        </w:tc>
        <w:tc>
          <w:tcPr>
            <w:tcW w:type="dxa" w:w="209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미고지 채무 양도인 부담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제6조 [온라인 플랫폼 및 정산 권한 이전]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"갑"은 네이버 스마트플레이스 업체 관리 권한을 인수일까지 "을"에게 위임하고, 업체 정보를 임의 삭제·변경하지 않는다.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"갑"은 네이버 스마트주문, 네이버페이, 카카오맵, 구글맵, SNS, 배달앱 및 기타 온라인 채널의 사업자 정보 변경, 해지, 재가입, 권한 이전 절차에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"갑"은 네이버 스마트플레이스의 리뷰·별점 유지를 위해 업체 삭제 후 재등록을 하지 않으며, 주인 권한 위임 방식으로 전환되도록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"갑"은 배달앱 광고 설정, 리뷰·평점 승계 가능 여부, 정산계좌 변경 상태를 "을"에게 설명하고, 첫 정산일까지 기존 계정에 입금되는 금액이 있을 경우 즉시 "을"에게 정산한다.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⑤ "갑"은 카드단말기, VAN, POS, 현금영수증, 간편결제, 배달대행 정산계좌가 "을" 명의 통장으로 변경될 수 있도록 필요한 정보를 제공한다.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⑥ 인수일 이후 매출이 "갑" 명의 계정 또는 계좌로 입금된 경우 "갑"은 입금 확인 즉시 "을"에게 통지하고 1영업일 이내에 전액 반환한다.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제7조 [임대차 및 인허가]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현재 임대차 조건은 보증금 금 일천오백만원정(₩15,000,000), 월 차임 금 일백삼십만원정(₩1,300,000, 부가가치세 별도), 관리비 월 금삼만원정(₩30,000)으로 확인한다.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임대차보증금은 "을"이 임대인에게 직접 지급하며, 본 계약의 권리금 또는 양수도 대금에 포함되지 않는다.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"갑"은 영업자 지위승계 신고, 위생교육, 통신판매업 신고, 음식물폐기물 배출자 신고 등 "을"의 인허가 절차에 필요한 확인 및 서류 제공에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임대인의 서면 동의 또는 "을" 명의 임대차계약 체결이 불가능한 경우 "을"은 본 계약을 해제할 수 있으며, 이 경우 "갑"은 수령한 계약금을 즉시 반환한다.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제8조 [채무·체납·리스·행정처분 보증]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"갑"은 인도일 이전에 발생한 국세·지방세 체납, 임대료·관리비 체납, 미지급 거래대금, 직원 임금·퇴직금, 렌탈·리스료, 대출·담보, 과태료 및 행정처분이 없음을 보증한다.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인도일 이전 원인으로 발생한 채무, 행정처분, 위생법 위반, 고객 클레임, 세금 및 가산금은 "갑"이 부담한다.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"갑"은 국세완납증명서, 지방세완납증명서, 임대료 완납 확인, 거래처 미지급금 확인, 렌탈·리스 잔여계약 현황을 "을"의 요청 시 제출한다.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"갑"은 최근 1년 이내 위생점검 결과, 영업정지·과태료·시정명령 등 행정처분 이력, 진행 중인 민원·분쟁·소송·가압류·담보 제공 여부를 계약 체결 전 서면으로 고지한다.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⑤ 숨은 채무 또는 미고지 행정처분으로 "을"에게 손해가 발생한 경우 "갑"은 손해 전액 및 관련 비용을 배상한다.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928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4932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양도인 제출·확인 자료</w:t>
            </w:r>
          </w:p>
        </w:tc>
        <w:tc>
          <w:tcPr>
            <w:tcW w:type="dxa" w:w="3231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계약상 처리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세금 체납</w:t>
            </w:r>
          </w:p>
        </w:tc>
        <w:tc>
          <w:tcPr>
            <w:tcW w:type="dxa" w:w="4932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국세완납증명서, 지방세완납증명서</w:t>
            </w:r>
          </w:p>
        </w:tc>
        <w:tc>
          <w:tcPr>
            <w:tcW w:type="dxa" w:w="32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미제출 또는 체납 발견 시 잔금 보류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임대료 체납</w:t>
            </w:r>
          </w:p>
        </w:tc>
        <w:tc>
          <w:tcPr>
            <w:tcW w:type="dxa" w:w="4932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임대인 완납 확인, 관리비 정산 내역</w:t>
            </w:r>
          </w:p>
        </w:tc>
        <w:tc>
          <w:tcPr>
            <w:tcW w:type="dxa" w:w="32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인도 전 전액 양도인 정산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행정처분</w:t>
            </w:r>
          </w:p>
        </w:tc>
        <w:tc>
          <w:tcPr>
            <w:tcW w:type="dxa" w:w="4932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위생점검 결과, 영업정지·과태료 이력</w:t>
            </w:r>
          </w:p>
        </w:tc>
        <w:tc>
          <w:tcPr>
            <w:tcW w:type="dxa" w:w="32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미고지 시 귀책 해제 및 손해배상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미지급 거래대금</w:t>
            </w:r>
          </w:p>
        </w:tc>
        <w:tc>
          <w:tcPr>
            <w:tcW w:type="dxa" w:w="4932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식재료·포장재 거래처 미지급 현황</w:t>
            </w:r>
          </w:p>
        </w:tc>
        <w:tc>
          <w:tcPr>
            <w:tcW w:type="dxa" w:w="32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인도 전 양도인 부담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리스·렌탈</w:t>
            </w:r>
          </w:p>
        </w:tc>
        <w:tc>
          <w:tcPr>
            <w:tcW w:type="dxa" w:w="4932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냉장고, 정수기, 보안, 통신, POS 잔여계약</w:t>
            </w:r>
          </w:p>
        </w:tc>
        <w:tc>
          <w:tcPr>
            <w:tcW w:type="dxa" w:w="323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승계 합의 없는 잔여금·위약금 양도인 부담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제9조 [직원·재고·보험]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직원 고용승계 여부, 기존 직원의 퇴직금·미지급 임금 정산, 4대보험 상실·취득 신고는 인수일 전 별도 합의서로 정리한다.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재고는 인수일에 실사하고, 정상 영업에 사용 가능한 식재료·포장재·소모품만 인수 대상으로 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화재보험, 배상책임보험, CCTV·보안 계약 등은 "을" 명의 신규 가입 또는 승계 여부를 인수일까지 확정한다.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제10조 [경업금지 및 비밀유지]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"갑"은 영업 인도일로부터 2년간 서울특별시 중랑구 중화동 및 매장 반경 1km 이내에서 국밥류 등 동종 또는 유사 영업을 직접 또는 제3자를 통하여 영위하지 않는다.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"갑"은 본 계약 및 인수 과정에서 알게 된 "을"의 개인정보, 정산계좌, 운영자료, 거래처 조건을 제3자에게 누설하지 않는다.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제11조 [계약 해제 및 위약금]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① "갑"의 귀책사유로 계약이 해제되는 경우 "갑"은 수령한 계약금의 배액인 금 일천육백만원정(₩16,000,000)을 "을"에게 지급한다.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② "을"의 귀책사유로 계약이 해제되는 경우 "을"은 이미 지급한 계약금 금 팔백만원정(₩8,000,000)을 포기한다.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③ 인덕션 8개 교체 미완료, 임대인 동의 협조 거부, 사업자등록·영업신고 협조 거부, 온라인 채널 권한 이전 거부, 숨은 채무 또는 행정처분 미고지는 "갑"의 귀책사유로 본다.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④ 네이버플레이스·배달앱 업체정보 삭제, 리뷰·평점 승계 방해, 사업자등록 전 폐업신고, 기존 정산계좌 입금액 미반환, 본사 가맹승계 또는 임대차 동의 절차 비협조 역시 "갑"의 귀책사유로 본다.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⑤ 잔금 지급기일 이후 일방의 귀책으로 이행이 지체되는 경우 지체일수에 따라 미지급 금액에 연 15%의 비율로 계산한 지연손해금을 지급한다.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/>
          <w:sz w:val="22"/>
        </w:rPr>
        <w:t>제12조 [특약사항]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1. 본 계약의 양수인은 오윤희 개인이며, "을"은 법인 설립 후 본 계약상 일체의 권리·의무를 설립 법인에 포괄 이전할 수 있고, "갑"은 이에 동의한다.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2. "을"이 법인을 설립한 경우, "을"과 설립 법인은 연대하여 "갑"에 대한 본 계약의 양수도 대금 지급의무를 부담하며, "갑"은 법인 전환에 따른 사업자 정보 변경, 임대차 명의 변경, 온라인 채널·정산 계정 전환 등 필요한 절차에 추가로 협조한다.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3. 개인 명의 계약 후 법인 전환 시 부가가치세법상 포괄양수도 요건(사업의 동일성·계속성) 충족 여부 및 세무 처리는 세무사 검토를 거쳐 처리한다.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4. 권리금은 부가가치세 별도 조건이다. 세금계산서 발행, 포괄양수도 인정 여부 및 VAT 정산은 세무사 검토 후 처리한다.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5. 계약금 금 팔백만원정(₩8,000,000)은 오윤희 개인이 최형섭에게 기지급한 것으로 확인하며, 향후 법인 설립 시 법인 장부에 대표이사 가지급금 또는 법인 자본금으로 정리한다.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6. 별첨 집기·비품 목록, 온라인 채널·계정 인수인계 목록, 거래처·리스·렌탈 현황표는 본 계약과 동일한 효력을 가진다.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8"/>
        </w:rPr>
        <w:t>7. 본 계약에 명시되지 않은 사항은 민법, 상법, 상가건물 임대차보호법, 부가가치세법 및 일반 상관례에 따른다.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본 계약의 성립을 증명하기 위하여 계약서 2통을 작성하고, 갑과 을이 서명 또는 날인한 후 각 1통씩 보관한다.</w:t>
      </w:r>
    </w:p>
    <w:p>
      <w:pPr>
        <w:spacing w:after="60" w:line="259" w:lineRule="auto"/>
        <w:jc w:val="center"/>
      </w:pPr>
      <w:r>
        <w:rPr>
          <w:rFonts w:ascii="Malgun Gothic" w:hAnsi="Malgun Gothic" w:eastAsia="Malgun Gothic"/>
          <w:b/>
          <w:sz w:val="21"/>
        </w:rPr>
        <w:t>2026년        월    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701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685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양도인 "갑"</w:t>
            </w:r>
          </w:p>
        </w:tc>
        <w:tc>
          <w:tcPr>
            <w:tcW w:type="dxa" w:w="4706"/>
            <w:shd w:fill="1F4E79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양수인 "을"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성명</w:t>
            </w:r>
          </w:p>
        </w:tc>
        <w:tc>
          <w:tcPr>
            <w:tcW w:type="dxa" w:w="368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최형섭</w:t>
            </w:r>
          </w:p>
        </w:tc>
        <w:tc>
          <w:tcPr>
            <w:tcW w:type="dxa" w:w="4706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오윤희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주민등록번호</w:t>
            </w:r>
          </w:p>
        </w:tc>
        <w:tc>
          <w:tcPr>
            <w:tcW w:type="dxa" w:w="368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941209-1082123</w:t>
            </w:r>
          </w:p>
        </w:tc>
        <w:tc>
          <w:tcPr>
            <w:tcW w:type="dxa" w:w="4706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781219-2531611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주소</w:t>
            </w:r>
          </w:p>
        </w:tc>
        <w:tc>
          <w:tcPr>
            <w:tcW w:type="dxa" w:w="368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서울특별시 중랑구 동일로126길 43 (중화동)</w:t>
            </w:r>
          </w:p>
        </w:tc>
        <w:tc>
          <w:tcPr>
            <w:tcW w:type="dxa" w:w="4706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전라북도 남원시 운봉읍 산덕옛길 24-5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연락처</w:t>
            </w:r>
          </w:p>
        </w:tc>
        <w:tc>
          <w:tcPr>
            <w:tcW w:type="dxa" w:w="368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010-9247-5621</w:t>
            </w:r>
          </w:p>
        </w:tc>
        <w:tc>
          <w:tcPr>
            <w:tcW w:type="dxa" w:w="4706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010-3185-6229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입금계좌</w:t>
            </w:r>
          </w:p>
        </w:tc>
        <w:tc>
          <w:tcPr>
            <w:tcW w:type="dxa" w:w="368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[은행명] [계좌번호] 예금주: 최형섭</w:t>
            </w:r>
          </w:p>
        </w:tc>
        <w:tc>
          <w:tcPr>
            <w:tcW w:type="dxa" w:w="4706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-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  <w:shd w:fill="EEF3F8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서명/날인</w:t>
            </w:r>
          </w:p>
        </w:tc>
        <w:tc>
          <w:tcPr>
            <w:tcW w:type="dxa" w:w="3685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(인)</w:t>
            </w:r>
          </w:p>
        </w:tc>
        <w:tc>
          <w:tcPr>
            <w:tcW w:type="dxa" w:w="4706"/>
            <w:vAlign w:val="center"/>
            <w:tcBorders>
              <w:top w:val="single" w:sz="6" w:space="0" w:color="B7C0CC"/>
              <w:left w:val="single" w:sz="6" w:space="0" w:color="B7C0CC"/>
              <w:bottom w:val="single" w:sz="6" w:space="0" w:color="B7C0CC"/>
              <w:right w:val="single" w:sz="6" w:space="0" w:color="B7C0CC"/>
              <w:insideH w:val="single" w:sz="6" w:space="0" w:color="B7C0CC"/>
              <w:insideV w:val="single" w:sz="6" w:space="0" w:color="B7C0CC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오윤희 (인)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7"/>
        </w:rPr>
        <w:t>별첨 1. 집기·비품 및 재고 실사 목록  /  별첨 2. 거래처·계정·정산채널 인수인계 목록</w:t>
      </w:r>
    </w:p>
    <w:sectPr w:rsidR="00FC693F" w:rsidRPr="0006063C" w:rsidSect="00034616">
      <w:pgSz w:w="11906" w:h="16838"/>
      <w:pgMar w:top="822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