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车辆分布热力图分析报告</w:t>
      </w:r>
    </w:p>
    <w:p>
      <w:pPr>
        <w:pStyle w:val="Heading2"/>
      </w:pPr>
      <w:r>
        <w:rPr>
          <w:rFonts w:ascii="STFangsong" w:hAnsi="STFangsong" w:eastAsia="STFangsong"/>
        </w:rPr>
        <w:t>分析思路</w:t>
      </w:r>
    </w:p>
    <w:p>
      <w:pPr>
        <w:pStyle w:val="ListParagraph"/>
      </w:pPr>
      <w:r>
        <w:rPr>
          <w:rFonts w:ascii="STFangsong" w:hAnsi="STFangsong" w:eastAsia="STFangsong"/>
        </w:rPr>
        <w:t>• 从'进区域时间'中提取小时信息</w:t>
      </w:r>
    </w:p>
    <w:p>
      <w:pPr>
        <w:pStyle w:val="ListParagraph"/>
      </w:pPr>
      <w:r>
        <w:rPr>
          <w:rFonts w:ascii="STFangsong" w:hAnsi="STFangsong" w:eastAsia="STFangsong"/>
        </w:rPr>
        <w:t>• 使用'区域'列进行分组</w:t>
      </w:r>
    </w:p>
    <w:p>
      <w:pPr>
        <w:pStyle w:val="ListParagraph"/>
      </w:pPr>
      <w:r>
        <w:rPr>
          <w:rFonts w:ascii="STFangsong" w:hAnsi="STFangsong" w:eastAsia="STFangsong"/>
        </w:rPr>
        <w:t>• 通过统计车牌号数量估算车辆数量</w:t>
      </w:r>
    </w:p>
    <w:p>
      <w:pPr>
        <w:pStyle w:val="ListParagraph"/>
      </w:pPr>
      <w:r>
        <w:rPr>
          <w:rFonts w:ascii="STFangsong" w:hAnsi="STFangsong" w:eastAsia="STFangsong"/>
        </w:rPr>
        <w:t>• 生成热力图展示分布情况</w:t>
      </w:r>
    </w:p>
    <w:p>
      <w:pPr>
        <w:pStyle w:val="ListParagraph"/>
      </w:pPr>
      <w:r>
        <w:rPr>
          <w:rFonts w:ascii="STFangsong" w:hAnsi="STFangsong" w:eastAsia="STFangsong"/>
        </w:rPr>
        <w:t>• 分析高峰期和区域热度</w:t>
      </w:r>
    </w:p>
    <w:p>
      <w:pPr>
        <w:pStyle w:val="ListParagraph"/>
      </w:pPr>
      <w:r>
        <w:rPr>
          <w:rFonts w:ascii="STFangsong" w:hAnsi="STFangsong" w:eastAsia="STFangsong"/>
        </w:rPr>
        <w:t>• 补充分析区域小时分布规律</w:t>
      </w:r>
    </w:p>
    <w:p>
      <w:pPr>
        <w:pStyle w:val="Heading2"/>
      </w:pPr>
      <w:r>
        <w:rPr>
          <w:rFonts w:ascii="STFangsong" w:hAnsi="STFangsong" w:eastAsia="STFangsong"/>
        </w:rPr>
        <w:t>分析结果</w:t>
      </w:r>
    </w:p>
    <w:p>
      <w:pPr>
        <w:pStyle w:val="ListParagraph"/>
      </w:pPr>
      <w:r>
        <w:rPr>
          <w:rFonts w:ascii="STFangsong" w:hAnsi="STFangsong" w:eastAsia="STFangsong"/>
        </w:rPr>
        <w:t>• 区域数量: 8</w:t>
      </w:r>
    </w:p>
    <w:p>
      <w:pPr>
        <w:pStyle w:val="ListParagraph"/>
      </w:pPr>
      <w:r>
        <w:rPr>
          <w:rFonts w:ascii="STFangsong" w:hAnsi="STFangsong" w:eastAsia="STFangsong"/>
        </w:rPr>
        <w:t>• 小时范围: 0 - 23</w:t>
      </w:r>
    </w:p>
    <w:p>
      <w:pPr>
        <w:pStyle w:val="ListParagraph"/>
      </w:pPr>
      <w:r>
        <w:rPr>
          <w:rFonts w:ascii="STFangsong" w:hAnsi="STFangsong" w:eastAsia="STFangsong"/>
        </w:rPr>
        <w:t>• 总车辆数: 2534</w:t>
      </w:r>
    </w:p>
    <w:p>
      <w:pPr>
        <w:pStyle w:val="Heading2"/>
      </w:pPr>
      <w:r>
        <w:rPr>
          <w:rFonts w:ascii="STFangsong" w:hAnsi="STFangsong" w:eastAsia="STFangsong"/>
        </w:rPr>
        <w:t>高峰期分析</w:t>
      </w:r>
    </w:p>
    <w:p>
      <w:r>
        <w:rPr>
          <w:rFonts w:ascii="STFangsong" w:hAnsi="STFangsong" w:eastAsia="STFangsong"/>
        </w:rPr>
        <w:t xml:space="preserve"> 小时  车辆数量</w:t>
        <w:br/>
        <w:t xml:space="preserve"> 12   225</w:t>
        <w:br/>
        <w:t xml:space="preserve"> 14   225</w:t>
        <w:br/>
        <w:t xml:space="preserve"> 15   209</w:t>
      </w:r>
    </w:p>
    <w:p>
      <w:pPr>
        <w:pStyle w:val="Heading2"/>
      </w:pPr>
      <w:r>
        <w:rPr>
          <w:rFonts w:ascii="STFangsong" w:hAnsi="STFangsong" w:eastAsia="STFangsong"/>
        </w:rPr>
        <w:t>区域热度排名</w:t>
      </w:r>
    </w:p>
    <w:p>
      <w:r>
        <w:rPr>
          <w:rFonts w:ascii="STFangsong" w:hAnsi="STFangsong" w:eastAsia="STFangsong"/>
        </w:rPr>
        <w:t xml:space="preserve">     区域  总车辆数</w:t>
        <w:br/>
        <w:t xml:space="preserve">    天鹅湖   745</w:t>
        <w:br/>
        <w:t xml:space="preserve">     富民   639</w:t>
        <w:br/>
        <w:t xml:space="preserve">    区域四   392</w:t>
        <w:br/>
        <w:t xml:space="preserve">    袁木桂   288</w:t>
        <w:br/>
        <w:t>富民商贸615   181</w:t>
        <w:br/>
        <w:t xml:space="preserve">    区域三   151</w:t>
        <w:br/>
        <w:t xml:space="preserve">     传奇    72</w:t>
        <w:br/>
        <w:t xml:space="preserve">    区域五    66</w:t>
      </w:r>
    </w:p>
    <w:p>
      <w:pPr>
        <w:pStyle w:val="Heading2"/>
      </w:pPr>
      <w:r>
        <w:rPr>
          <w:rFonts w:ascii="STFangsong" w:hAnsi="STFangsong" w:eastAsia="STFangsong"/>
        </w:rPr>
        <w:t>区域小时分布规律</w:t>
      </w:r>
    </w:p>
    <w:p>
      <w:r>
        <w:rPr>
          <w:rFonts w:ascii="STFangsong" w:hAnsi="STFangsong" w:eastAsia="STFangsong"/>
        </w:rPr>
        <w:t>箱线图展示了各区域小时分布的中位数、四分位数和异常值范围，有助于理解不同区域的时间使用模式。</w:t>
      </w:r>
    </w:p>
    <w:p>
      <w:r>
        <w:rPr>
          <w:rFonts w:ascii="STFangsong" w:hAnsi="STFangsong" w:eastAsia="STFangsong"/>
        </w:rPr>
        <w:t>![热力图](vehicle_heatmap.png)</w:t>
        <w:br/>
        <w:t>![高峰期](peak_hours.png)</w:t>
        <w:br/>
        <w:t>![区域热度](region_heat.png)</w:t>
        <w:br/>
        <w:t>![分布规律](hour_distribution_boxplot.png)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