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区域特性说明</w:t>
      </w:r>
    </w:p>
    <w:p>
      <w:pPr>
        <w:pStyle w:val="ListParagraph"/>
      </w:pPr>
      <w:r>
        <w:rPr>
          <w:rFonts w:ascii="STFangsong" w:hAnsi="STFangsong" w:eastAsia="STFangsong"/>
        </w:rPr>
        <w:t>• 传奇: 工业制造区</w:t>
      </w:r>
    </w:p>
    <w:p>
      <w:pPr>
        <w:pStyle w:val="ListParagraph"/>
      </w:pPr>
      <w:r>
        <w:rPr>
          <w:rFonts w:ascii="STFangsong" w:hAnsi="STFangsong" w:eastAsia="STFangsong"/>
        </w:rPr>
        <w:t>• 区域三: 居民生活区</w:t>
      </w:r>
    </w:p>
    <w:p>
      <w:pPr>
        <w:pStyle w:val="ListParagraph"/>
      </w:pPr>
      <w:r>
        <w:rPr>
          <w:rFonts w:ascii="STFangsong" w:hAnsi="STFangsong" w:eastAsia="STFangsong"/>
        </w:rPr>
        <w:t>• 区域五: 夜间封闭区域</w:t>
      </w:r>
    </w:p>
    <w:p>
      <w:pPr>
        <w:pStyle w:val="ListParagraph"/>
      </w:pPr>
      <w:r>
        <w:rPr>
          <w:rFonts w:ascii="STFangsong" w:hAnsi="STFangsong" w:eastAsia="STFangsong"/>
        </w:rPr>
        <w:t>• 区域四: 交通枢纽区域</w:t>
      </w:r>
    </w:p>
    <w:p>
      <w:pPr>
        <w:pStyle w:val="ListParagraph"/>
      </w:pPr>
      <w:r>
        <w:rPr>
          <w:rFonts w:ascii="STFangsong" w:hAnsi="STFangsong" w:eastAsia="STFangsong"/>
        </w:rPr>
        <w:t>• 天鹅湖: 商业娱乐区</w:t>
      </w:r>
    </w:p>
    <w:p>
      <w:pPr>
        <w:pStyle w:val="ListParagraph"/>
      </w:pPr>
      <w:r>
        <w:rPr>
          <w:rFonts w:ascii="STFangsong" w:hAnsi="STFangsong" w:eastAsia="STFangsong"/>
        </w:rPr>
        <w:t>• 富民: 普通区域</w:t>
      </w:r>
    </w:p>
    <w:p>
      <w:pPr>
        <w:pStyle w:val="ListParagraph"/>
      </w:pPr>
      <w:r>
        <w:rPr>
          <w:rFonts w:ascii="STFangsong" w:hAnsi="STFangsong" w:eastAsia="STFangsong"/>
        </w:rPr>
        <w:t>• 富民商贸615: 普通区域</w:t>
      </w:r>
    </w:p>
    <w:p>
      <w:pPr>
        <w:pStyle w:val="ListParagraph"/>
      </w:pPr>
      <w:r>
        <w:rPr>
          <w:rFonts w:ascii="STFangsong" w:hAnsi="STFangsong" w:eastAsia="STFangsong"/>
        </w:rPr>
        <w:t>• 袁木桂: 普通区域</w:t>
      </w:r>
    </w:p>
    <w:p>
      <w:pPr>
        <w:pStyle w:val="Heading2"/>
      </w:pPr>
      <w:r>
        <w:rPr>
          <w:rFonts w:ascii="STFangsong" w:hAnsi="STFangsong" w:eastAsia="STFangsong"/>
        </w:rPr>
        <w:t>异常时段分析</w:t>
      </w:r>
    </w:p>
    <w:p>
      <w:pPr>
        <w:pStyle w:val="ListParagraph"/>
      </w:pPr>
      <w:r>
        <w:rPr>
          <w:rFonts w:ascii="STFangsong" w:hAnsi="STFangsong" w:eastAsia="STFangsong"/>
        </w:rPr>
        <w:t>• 传奇: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区域三: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区域五: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区域四: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天鹅湖: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富民: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富民商贸615: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ListParagraph"/>
      </w:pPr>
      <w:r>
        <w:rPr>
          <w:rFonts w:ascii="STFangsong" w:hAnsi="STFangsong" w:eastAsia="STFangsong"/>
        </w:rPr>
        <w:t>• 袁木桂: 无数据</w:t>
      </w:r>
    </w:p>
    <w:p>
      <w:r>
        <w:rPr>
          <w:rFonts w:ascii="STFangsong" w:hAnsi="STFangsong" w:eastAsia="STFangsong"/>
        </w:rPr>
        <w:t xml:space="preserve">  空闲时段: 无数据</w:t>
      </w:r>
    </w:p>
    <w:p>
      <w:pPr>
        <w:pStyle w:val="Heading2"/>
      </w:pPr>
      <w:r>
        <w:rPr>
          <w:rFonts w:ascii="STFangsong" w:hAnsi="STFangsong" w:eastAsia="STFangsong"/>
        </w:rPr>
        <w:t>数据说明</w:t>
      </w:r>
    </w:p>
    <w:p>
      <w:pPr>
        <w:pStyle w:val="ListParagraph"/>
      </w:pPr>
      <w:r>
        <w:rPr>
          <w:rFonts w:ascii="STFangsong" w:hAnsi="STFangsong" w:eastAsia="STFangsong"/>
        </w:rPr>
        <w:t>• 采集时间: 2021/6/1 00:02 至 2021/6/9 23:42</w:t>
      </w:r>
    </w:p>
    <w:p>
      <w:pPr>
        <w:pStyle w:val="ListParagraph"/>
      </w:pPr>
      <w:r>
        <w:rPr>
          <w:rFonts w:ascii="STFangsong" w:hAnsi="STFangsong" w:eastAsia="STFangsong"/>
        </w:rPr>
        <w:t>• 总记录数: 2,534 条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整体热力图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gl_distribution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袁木桂分布</w:t>
      </w:r>
    </w:p>
    <w:p>
      <w:pPr>
        <w:pStyle w:val="Heading2"/>
      </w:pPr>
      <w:r>
        <w:rPr>
          <w:rFonts w:ascii="STFangsong" w:hAnsi="STFangsong" w:eastAsia="STFangsong"/>
        </w:rPr>
        <w:t>分析结论</w:t>
      </w:r>
    </w:p>
    <w:p>
      <w:pPr>
        <w:pStyle w:val="ListParagraph"/>
      </w:pPr>
      <w:r>
        <w:rPr>
          <w:rFonts w:ascii="STFangsong" w:hAnsi="STFangsong" w:eastAsia="STFangsong"/>
        </w:rPr>
        <w:t>• 区域五在15:00-17:00时段无车辆记录，符合夜间封闭区域特性</w:t>
      </w:r>
    </w:p>
    <w:p>
      <w:pPr>
        <w:pStyle w:val="ListParagraph"/>
      </w:pPr>
      <w:r>
        <w:rPr>
          <w:rFonts w:ascii="STFangsong" w:hAnsi="STFangsong" w:eastAsia="STFangsong"/>
        </w:rPr>
        <w:t>• 区域四在22:00-23:00时段车辆骤减，符合交通枢纽夜间关闭规律</w:t>
      </w:r>
    </w:p>
    <w:p>
      <w:pPr>
        <w:pStyle w:val="ListParagraph"/>
      </w:pPr>
      <w:r>
        <w:rPr>
          <w:rFonts w:ascii="STFangsong" w:hAnsi="STFangsong" w:eastAsia="STFangsong"/>
        </w:rPr>
        <w:t>• 袁木桂区域车辆分布均匀，无异常时段</w:t>
      </w:r>
    </w:p>
    <w:p>
      <w:pPr>
        <w:pStyle w:val="Heading2"/>
      </w:pPr>
      <w:r>
        <w:rPr>
          <w:rFonts w:ascii="STFangsong" w:hAnsi="STFangsong" w:eastAsia="STFangsong"/>
        </w:rPr>
        <w:t>建议</w:t>
      </w:r>
    </w:p>
    <w:p>
      <w:pPr>
        <w:pStyle w:val="ListParagraph"/>
      </w:pPr>
      <w:r>
        <w:rPr>
          <w:rFonts w:ascii="STFangsong" w:hAnsi="STFangsong" w:eastAsia="STFangsong"/>
        </w:rPr>
        <w:t>• 对区域五继续保持夜间封闭管理</w:t>
      </w:r>
    </w:p>
    <w:p>
      <w:pPr>
        <w:pStyle w:val="ListParagraph"/>
      </w:pPr>
      <w:r>
        <w:rPr>
          <w:rFonts w:ascii="STFangsong" w:hAnsi="STFangsong" w:eastAsia="STFangsong"/>
        </w:rPr>
        <w:t>• 区域四需加强夜间安全巡查</w:t>
      </w:r>
    </w:p>
    <w:p>
      <w:pPr>
        <w:pStyle w:val="ListParagraph"/>
      </w:pPr>
      <w:r>
        <w:rPr>
          <w:rFonts w:ascii="STFangsong" w:hAnsi="STFangsong" w:eastAsia="STFangsong"/>
        </w:rPr>
        <w:t>• 建议定期（每月）更新分析以监控变化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