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TFangsong" w:hAnsi="STFangsong" w:eastAsia="STFangsong"/>
        </w:rPr>
        <w:t>车辆时空分布分析报告</w:t>
      </w:r>
    </w:p>
    <w:p>
      <w:pPr>
        <w:pStyle w:val="Heading2"/>
      </w:pPr>
      <w:r>
        <w:rPr>
          <w:rFonts w:ascii="STFangsong" w:hAnsi="STFangsong" w:eastAsia="STFangsong"/>
        </w:rPr>
        <w:t>全区域分析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Fangsong" w:hAnsi="STFangsong" w:eastAsia="STFangsong"/>
          <w:i/>
        </w:rPr>
        <w:t>全区域热力图</w:t>
      </w:r>
    </w:p>
    <w:p>
      <w:pPr>
        <w:pStyle w:val="ListParagraph"/>
      </w:pPr>
      <w:r>
        <w:rPr>
          <w:rFonts w:ascii="STFangsong" w:hAnsi="STFangsong" w:eastAsia="STFangsong"/>
        </w:rPr>
        <w:t>• 覆盖8个区域</w:t>
      </w:r>
    </w:p>
    <w:p>
      <w:pPr>
        <w:pStyle w:val="ListParagraph"/>
      </w:pPr>
      <w:r>
        <w:rPr>
          <w:rFonts w:ascii="STFangsong" w:hAnsi="STFangsong" w:eastAsia="STFangsong"/>
        </w:rPr>
        <w:t>• 时间范围：0:00 - 23:230</w:t>
      </w:r>
    </w:p>
    <w:p>
      <w:pPr>
        <w:pStyle w:val="Heading2"/>
      </w:pPr>
      <w:r>
        <w:rPr>
          <w:rFonts w:ascii="STFangsong" w:hAnsi="STFangsong" w:eastAsia="STFangsong"/>
        </w:rPr>
        <w:t>袁木桂区域专项分析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mj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Fangsong" w:hAnsi="STFangsong" w:eastAsia="STFangsong"/>
          <w:i/>
        </w:rPr>
        <w:t>袁木桂分布图</w:t>
      </w:r>
    </w:p>
    <w:p>
      <w:r>
        <w:rPr>
          <w:rFonts w:ascii="STFangsong" w:hAnsi="STFangsong" w:eastAsia="STFangsong"/>
        </w:rPr>
        <w:t xml:space="preserve">    袁木桂区域时间分布统计:</w:t>
        <w:br/>
        <w:t>1:00 - 1辆</w:t>
        <w:br/>
        <w:t>4:00 - 1辆</w:t>
        <w:br/>
        <w:t>6:00 - 2辆</w:t>
        <w:br/>
        <w:t>8:00 - 1辆</w:t>
        <w:br/>
        <w:t>9:00 - 4辆</w:t>
        <w:br/>
        <w:t>10:00 - 12辆</w:t>
        <w:br/>
        <w:t>11:00 - 17辆</w:t>
        <w:br/>
        <w:t>12:00 - 19辆</w:t>
        <w:br/>
        <w:t>13:00 - 41辆</w:t>
        <w:br/>
        <w:t>14:00 - 48辆</w:t>
        <w:br/>
        <w:t>15:00 - 48辆</w:t>
        <w:br/>
        <w:t>16:00 - 42辆</w:t>
        <w:br/>
        <w:t>17:00 - 18辆</w:t>
        <w:br/>
        <w:t>18:00 - 12辆</w:t>
        <w:br/>
        <w:t>19:00 - 16辆</w:t>
        <w:br/>
        <w:t>20:00 - 6辆</w:t>
      </w:r>
    </w:p>
    <w:p>
      <w:pPr>
        <w:pStyle w:val="Heading2"/>
      </w:pPr>
      <w:r>
        <w:rPr>
          <w:rFonts w:ascii="STFangsong" w:hAnsi="STFangsong" w:eastAsia="STFangsong"/>
        </w:rPr>
        <w:t>结论</w:t>
      </w:r>
    </w:p>
    <w:p>
      <w:pPr>
        <w:pStyle w:val="ListParagraph"/>
      </w:pPr>
      <w:r>
        <w:rPr>
          <w:rFonts w:ascii="STFangsong" w:hAnsi="STFangsong" w:eastAsia="STFangsong"/>
        </w:rPr>
        <w:t>• 全区域热力图显示97辆/小时峰值</w:t>
      </w:r>
    </w:p>
    <w:p>
      <w:pPr>
        <w:pStyle w:val="ListParagraph"/>
      </w:pPr>
      <w:r>
        <w:rPr>
          <w:rFonts w:ascii="STFangsong" w:hAnsi="STFangsong" w:eastAsia="STFangsong"/>
        </w:rPr>
        <w:t>• 袁木桂区域14点出现高峰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Fangsong" w:hAnsi="STFangsong" w:eastAsia="STFangsong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Fangsong" w:hAnsi="STFangsong" w:eastAsia="STFangsong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