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车辆区域时间分布分析报告</w:t>
      </w:r>
    </w:p>
    <w:p>
      <w:pPr>
        <w:pStyle w:val="Heading1"/>
      </w:pPr>
      <w:r>
        <w:t>一、报告摘要</w:t>
      </w:r>
    </w:p>
    <w:p>
      <w:r>
        <w:t>本报告分析了2021年6月10日至14日期间，2534辆车辆在不同区域和时间的分布情况。</w:t>
      </w:r>
    </w:p>
    <w:p>
      <w:pPr>
        <w:pStyle w:val="Heading1"/>
      </w:pPr>
      <w:r>
        <w:t>二、数据概况</w:t>
      </w:r>
    </w:p>
    <w:p>
      <w:r>
        <w:t>- 总记录数: 2534</w:t>
      </w:r>
    </w:p>
    <w:p>
      <w:r>
        <w:t>- 时间范围: 2021-06-01 至 2021-06-14</w:t>
      </w:r>
    </w:p>
    <w:p>
      <w:r>
        <w:t>- 涉及区域: 8个</w:t>
      </w:r>
    </w:p>
    <w:p>
      <w:pPr>
        <w:pStyle w:val="Heading1"/>
      </w:pPr>
      <w:r>
        <w:t>三、区域分布统计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区域</w:t>
            </w:r>
          </w:p>
        </w:tc>
        <w:tc>
          <w:tcPr>
            <w:tcW w:type="dxa" w:w="4320"/>
          </w:tcPr>
          <w:p>
            <w:r>
              <w:t>车辆数量</w:t>
            </w:r>
          </w:p>
        </w:tc>
      </w:tr>
      <w:tr>
        <w:tc>
          <w:tcPr>
            <w:tcW w:type="dxa" w:w="4320"/>
          </w:tcPr>
          <w:p>
            <w:r>
              <w:t>天鹅湖</w:t>
            </w:r>
          </w:p>
        </w:tc>
        <w:tc>
          <w:tcPr>
            <w:tcW w:type="dxa" w:w="4320"/>
          </w:tcPr>
          <w:p>
            <w:r>
              <w:t>745</w:t>
            </w:r>
          </w:p>
        </w:tc>
      </w:tr>
      <w:tr>
        <w:tc>
          <w:tcPr>
            <w:tcW w:type="dxa" w:w="4320"/>
          </w:tcPr>
          <w:p>
            <w:r>
              <w:t>富民</w:t>
            </w:r>
          </w:p>
        </w:tc>
        <w:tc>
          <w:tcPr>
            <w:tcW w:type="dxa" w:w="4320"/>
          </w:tcPr>
          <w:p>
            <w:r>
              <w:t>639</w:t>
            </w:r>
          </w:p>
        </w:tc>
      </w:tr>
      <w:tr>
        <w:tc>
          <w:tcPr>
            <w:tcW w:type="dxa" w:w="4320"/>
          </w:tcPr>
          <w:p>
            <w:r>
              <w:t>区域四</w:t>
            </w:r>
          </w:p>
        </w:tc>
        <w:tc>
          <w:tcPr>
            <w:tcW w:type="dxa" w:w="4320"/>
          </w:tcPr>
          <w:p>
            <w:r>
              <w:t>392</w:t>
            </w:r>
          </w:p>
        </w:tc>
      </w:tr>
      <w:tr>
        <w:tc>
          <w:tcPr>
            <w:tcW w:type="dxa" w:w="4320"/>
          </w:tcPr>
          <w:p>
            <w:r>
              <w:t>袁木桂</w:t>
            </w:r>
          </w:p>
        </w:tc>
        <w:tc>
          <w:tcPr>
            <w:tcW w:type="dxa" w:w="4320"/>
          </w:tcPr>
          <w:p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富民商贸615</w:t>
            </w:r>
          </w:p>
        </w:tc>
        <w:tc>
          <w:tcPr>
            <w:tcW w:type="dxa" w:w="4320"/>
          </w:tcPr>
          <w:p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区域三</w:t>
            </w:r>
          </w:p>
        </w:tc>
        <w:tc>
          <w:tcPr>
            <w:tcW w:type="dxa" w:w="4320"/>
          </w:tcPr>
          <w:p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传奇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区域五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</w:tbl>
    <w:p>
      <w:pPr>
        <w:pStyle w:val="Heading1"/>
      </w:pPr>
      <w:r>
        <w:t>四、时间分布统计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173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129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</w:tbl>
    <w:p>
      <w:pPr>
        <w:pStyle w:val="Heading1"/>
      </w:pPr>
      <w:r>
        <w:t>五、热力图分析</w:t>
      </w:r>
    </w:p>
    <w:p>
      <w:r>
        <w:t>热力图展示了车辆在不同区域和时间的分布情况，颜色越深表示车辆越多。</w:t>
      </w:r>
    </w:p>
    <w:p>
      <w:r>
        <w:drawing>
          <wp:inline xmlns:a="http://schemas.openxmlformats.org/drawingml/2006/main" xmlns:pic="http://schemas.openxmlformats.org/drawingml/2006/picture">
            <wp:extent cx="7315200" cy="55452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le_heatmap_v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54521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