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车辆区域时间分布分析报告</w:t>
      </w:r>
    </w:p>
    <w:p>
      <w:pPr>
        <w:pStyle w:val="Heading2"/>
      </w:pPr>
      <w:r>
        <w:rPr>
          <w:rFonts w:ascii="STFangsong" w:hAnsi="STFangsong" w:eastAsia="STFangsong"/>
        </w:rPr>
        <w:t>分析思路</w:t>
      </w:r>
    </w:p>
    <w:p>
      <w:pPr>
        <w:pStyle w:val="ListParagraph"/>
      </w:pPr>
      <w:r>
        <w:rPr>
          <w:rFonts w:ascii="STFangsong" w:hAnsi="STFangsong" w:eastAsia="STFangsong"/>
        </w:rPr>
        <w:t>• **数据处理**：</w:t>
      </w:r>
    </w:p>
    <w:p>
      <w:pPr>
        <w:pStyle w:val="ListParagraph"/>
      </w:pPr>
      <w:r>
        <w:rPr>
          <w:rFonts w:ascii="STFangsong" w:hAnsi="STFangsong" w:eastAsia="STFangsong"/>
        </w:rPr>
        <w:t>• 从`进区域时间`提取小时信息（0-23）</w:t>
      </w:r>
    </w:p>
    <w:p>
      <w:pPr>
        <w:pStyle w:val="ListParagraph"/>
      </w:pPr>
      <w:r>
        <w:rPr>
          <w:rFonts w:ascii="STFangsong" w:hAnsi="STFangsong" w:eastAsia="STFangsong"/>
        </w:rPr>
        <w:t>• 从`区域`字段提取区域代码（如"富民商贸615"→"615"）</w:t>
      </w:r>
    </w:p>
    <w:p>
      <w:pPr>
        <w:pStyle w:val="ListParagraph"/>
      </w:pPr>
      <w:r>
        <w:rPr>
          <w:rFonts w:ascii="STFangsong" w:hAnsi="STFangsong" w:eastAsia="STFangsong"/>
        </w:rPr>
        <w:t>• **热力图构建**：</w:t>
      </w:r>
    </w:p>
    <w:p>
      <w:pPr>
        <w:pStyle w:val="ListParagraph"/>
      </w:pPr>
      <w:r>
        <w:rPr>
          <w:rFonts w:ascii="STFangsong" w:hAnsi="STFangsong" w:eastAsia="STFangsong"/>
        </w:rPr>
        <w:t>• 统计每个区域代码在每小时的车辆数量</w:t>
      </w:r>
    </w:p>
    <w:p>
      <w:pPr>
        <w:pStyle w:val="ListParagraph"/>
      </w:pPr>
      <w:r>
        <w:rPr>
          <w:rFonts w:ascii="STFangsong" w:hAnsi="STFangsong" w:eastAsia="STFangsong"/>
        </w:rPr>
        <w:t>• 使用区域代码×小时的矩阵展示分布</w:t>
      </w:r>
    </w:p>
    <w:p>
      <w:pPr>
        <w:pStyle w:val="Heading2"/>
      </w:pPr>
      <w:r>
        <w:rPr>
          <w:rFonts w:ascii="STFangsong" w:hAnsi="STFangsong" w:eastAsia="STFangsong"/>
        </w:rPr>
        <w:t>关键发现</w:t>
      </w:r>
    </w:p>
    <w:p>
      <w:pPr>
        <w:pStyle w:val="ListParagraph"/>
      </w:pPr>
      <w:r>
        <w:rPr>
          <w:rFonts w:ascii="STFangsong" w:hAnsi="STFangsong" w:eastAsia="STFangsong"/>
        </w:rPr>
        <w:t>• 区域数量：1</w:t>
      </w:r>
    </w:p>
    <w:p>
      <w:pPr>
        <w:pStyle w:val="ListParagraph"/>
      </w:pPr>
      <w:r>
        <w:rPr>
          <w:rFonts w:ascii="STFangsong" w:hAnsi="STFangsong" w:eastAsia="STFangsong"/>
        </w:rPr>
        <w:t>• 时间范围：2时至23时</w:t>
      </w:r>
    </w:p>
    <w:p>
      <w:pPr>
        <w:pStyle w:val="ListParagraph"/>
      </w:pPr>
      <w:r>
        <w:rPr>
          <w:rFonts w:ascii="STFangsong" w:hAnsi="STFangsong" w:eastAsia="STFangsong"/>
        </w:rPr>
        <w:t>• 车辆最密集时段：12时</w:t>
      </w:r>
    </w:p>
    <w:p>
      <w:pPr>
        <w:pStyle w:val="ListParagraph"/>
      </w:pPr>
      <w:r>
        <w:rPr>
          <w:rFonts w:ascii="STFangsong" w:hAnsi="STFangsong" w:eastAsia="STFangsong"/>
        </w:rPr>
        <w:t>• 车辆最稀疏区域：2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vehicl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热力图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