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车辆时空分布分析报告</w:t>
      </w:r>
    </w:p>
    <w:p>
      <w:pPr>
        <w:pStyle w:val="Heading2"/>
      </w:pPr>
      <w:r>
        <w:rPr>
          <w:rFonts w:ascii="STFangsong" w:hAnsi="STFangsong" w:eastAsia="STFangsong"/>
        </w:rPr>
        <w:t>一、分析思路</w:t>
      </w:r>
    </w:p>
    <w:p>
      <w:pPr>
        <w:pStyle w:val="ListParagraph"/>
      </w:pPr>
      <w:r>
        <w:rPr>
          <w:rFonts w:ascii="STFangsong" w:hAnsi="STFangsong" w:eastAsia="STFangsong"/>
        </w:rPr>
        <w:t>• 基于2534条记录分析车辆区域时间分布</w:t>
      </w:r>
    </w:p>
    <w:p>
      <w:pPr>
        <w:pStyle w:val="ListParagraph"/>
      </w:pPr>
      <w:r>
        <w:rPr>
          <w:rFonts w:ascii="STFangsong" w:hAnsi="STFangsong" w:eastAsia="STFangsong"/>
        </w:rPr>
        <w:t>• 识别高峰时段及高频区域</w:t>
      </w:r>
    </w:p>
    <w:p>
      <w:pPr>
        <w:pStyle w:val="Heading2"/>
      </w:pPr>
      <w:r>
        <w:rPr>
          <w:rFonts w:ascii="STFangsong" w:hAnsi="STFangsong" w:eastAsia="STFangsong"/>
        </w:rPr>
        <w:t>二、核心发现</w:t>
      </w:r>
    </w:p>
    <w:p>
      <w:pPr>
        <w:pStyle w:val="Heading3"/>
      </w:pPr>
      <w:r>
        <w:rPr>
          <w:rFonts w:ascii="STFangsong" w:hAnsi="STFangsong" w:eastAsia="STFangsong"/>
        </w:rPr>
        <w:t>1. 时间分布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l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小时分布</w:t>
      </w:r>
    </w:p>
    <w:p>
      <w:pPr>
        <w:pStyle w:val="ListParagraph"/>
      </w:pPr>
      <w:r>
        <w:rPr>
          <w:rFonts w:ascii="STFangsong" w:hAnsi="STFangsong" w:eastAsia="STFangsong"/>
        </w:rPr>
        <w:t>• 12点和14点为全天高峰（各225辆）</w:t>
      </w:r>
    </w:p>
    <w:p>
      <w:pPr>
        <w:pStyle w:val="Heading3"/>
      </w:pPr>
      <w:r>
        <w:rPr>
          <w:rFonts w:ascii="STFangsong" w:hAnsi="STFangsong" w:eastAsia="STFangsong"/>
        </w:rPr>
        <w:t>2. 区域分布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区域分布</w:t>
      </w:r>
    </w:p>
    <w:p>
      <w:pPr>
        <w:pStyle w:val="ListParagraph"/>
      </w:pPr>
      <w:r>
        <w:rPr>
          <w:rFonts w:ascii="STFangsong" w:hAnsi="STFangsong" w:eastAsia="STFangsong"/>
        </w:rPr>
        <w:t>• Top3区域占70.1%记录</w:t>
      </w:r>
    </w:p>
    <w:p>
      <w:pPr>
        <w:pStyle w:val="Heading3"/>
      </w:pPr>
      <w:r>
        <w:rPr>
          <w:rFonts w:ascii="STFangsong" w:hAnsi="STFangsong" w:eastAsia="STFangsong"/>
        </w:rPr>
        <w:t>3. 区域-时间关联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al_hour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热力图</w:t>
      </w:r>
    </w:p>
    <w:p>
      <w:pPr>
        <w:pStyle w:val="ListParagraph"/>
      </w:pPr>
      <w:r>
        <w:rPr>
          <w:rFonts w:ascii="STFangsong" w:hAnsi="STFangsong" w:eastAsia="STFangsong"/>
        </w:rPr>
        <w:t>• 区域五15点出现25辆（唯一时段集中）</w:t>
      </w:r>
    </w:p>
    <w:p>
      <w:pPr>
        <w:pStyle w:val="Heading3"/>
      </w:pPr>
      <w:r>
        <w:rPr>
          <w:rFonts w:ascii="STFangsong" w:hAnsi="STFangsong" w:eastAsia="STFangsong"/>
        </w:rPr>
        <w:t>4. 袁木桂区域分析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anmugui_hour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TFangsong" w:hAnsi="STFangsong" w:eastAsia="STFangsong"/>
          <w:i/>
        </w:rPr>
        <w:t>袁木桂时段</w:t>
      </w:r>
    </w:p>
    <w:p>
      <w:pPr>
        <w:pStyle w:val="ListParagraph"/>
      </w:pPr>
      <w:r>
        <w:rPr>
          <w:rFonts w:ascii="STFangsong" w:hAnsi="STFangsong" w:eastAsia="STFangsong"/>
        </w:rPr>
        <w:t>• 14点出现最多（48辆)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