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印尼进口风险评估报告</w:t>
      </w:r>
    </w:p>
    <w:p/>
    <w:p>
      <w:pPr>
        <w:pStyle w:val="Heading1"/>
      </w:pPr>
      <w:r>
        <w:t>一、分析对象</w:t>
      </w:r>
    </w:p>
    <w:p>
      <w:r>
        <w:t>- 收货人: Rf Hightek Indonesia</w:t>
      </w:r>
    </w:p>
    <w:p>
      <w:r>
        <w:t>- 时间范围: 2020-01-02 至 2020-10-31</w:t>
      </w:r>
    </w:p>
    <w:p>
      <w:pPr>
        <w:pStyle w:val="Heading1"/>
      </w:pPr>
      <w:r>
        <w:t>二、关键发现</w:t>
      </w:r>
    </w:p>
    <w:p>
      <w:r>
        <w:t>1. **异常月份分析**:</w:t>
      </w:r>
    </w:p>
    <w:p>
      <w:r>
        <w:t xml:space="preserve">   - 异常月份(6月)进口次数: 33次</w:t>
      </w:r>
    </w:p>
    <w:p>
      <w:r>
        <w:t xml:space="preserve">   - 正常月份平均价值: $2798.40</w:t>
      </w:r>
    </w:p>
    <w:p>
      <w:r>
        <w:t xml:space="preserve">   - 异常月份平均价值: $1649.50</w:t>
      </w:r>
    </w:p>
    <w:p>
      <w:r>
        <w:t xml:space="preserve">   - 价值差异: $-1148.90 (异常月份价值更低)</w:t>
      </w:r>
    </w:p>
    <w:p>
      <w:pPr>
        <w:pStyle w:val="Heading1"/>
      </w:pPr>
      <w:r>
        <w:t>三、风险评估</w:t>
      </w:r>
    </w:p>
    <w:p>
      <w:r>
        <w:t>| 风险点 | 风险等级 | 说明 |</w:t>
      </w:r>
    </w:p>
    <w:p>
      <w:r>
        <w:t>|--------|----------|------|</w:t>
      </w:r>
    </w:p>
    <w:p>
      <w:r>
        <w:t>| 异常月份价值异常低 | 高 | 异常月份价值显著低于正常月份 |</w:t>
      </w:r>
    </w:p>
    <w:p>
      <w:r>
        <w:t>| 单一HS编码依赖 | 高 | 仅使用一种HS编码 |</w:t>
      </w:r>
    </w:p>
    <w:p>
      <w:r>
        <w:t>| 数据记录矛盾 | 中 | 编码存在记录矛盾 |</w:t>
      </w:r>
    </w:p>
    <w:p>
      <w:pPr>
        <w:pStyle w:val="Heading1"/>
      </w:pPr>
      <w:r>
        <w:t>四、建议</w:t>
      </w:r>
    </w:p>
    <w:p>
      <w:r>
        <w:t>1. 联系数据提供方核实'Rf Hightek Indonesia'的进口记录</w:t>
      </w:r>
    </w:p>
    <w:p>
      <w:r>
        <w:t>2. 增加对该收货人的监管频率</w:t>
      </w:r>
    </w:p>
    <w:p>
      <w:r>
        <w:t>3. 审查HS编码72172091的合法性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