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TFangsong" w:hAnsi="STFangsong" w:eastAsia="STFangsong"/>
        </w:rPr>
        <w:t>车辆时空分布分析报告</w:t>
      </w:r>
    </w:p>
    <w:p>
      <w:pPr>
        <w:pStyle w:val="Heading2"/>
      </w:pPr>
      <w:r>
        <w:rPr>
          <w:rFonts w:ascii="STFangsong" w:hAnsi="STFangsong" w:eastAsia="STFangsong"/>
        </w:rPr>
        <w:t>区域特性分析</w:t>
      </w:r>
    </w:p>
    <w:p>
      <w:pPr>
        <w:pStyle w:val="ListParagraph"/>
      </w:pPr>
      <w:r>
        <w:rPr>
          <w:rFonts w:ascii="STFangsong" w:hAnsi="STFangsong" w:eastAsia="STFangsong"/>
        </w:rPr>
        <w:t>• 传奇: 分析失败</w:t>
      </w:r>
    </w:p>
    <w:p>
      <w:r>
        <w:rPr>
          <w:rFonts w:ascii="STFangsong" w:hAnsi="STFangsong" w:eastAsia="STFangsong"/>
        </w:rPr>
        <w:t xml:space="preserve">  空闲时段: 分析失败</w:t>
      </w:r>
    </w:p>
    <w:p>
      <w:pPr>
        <w:pStyle w:val="ListParagraph"/>
      </w:pPr>
      <w:r>
        <w:rPr>
          <w:rFonts w:ascii="STFangsong" w:hAnsi="STFangsong" w:eastAsia="STFangsong"/>
        </w:rPr>
        <w:t>• 区域三: 分析失败</w:t>
      </w:r>
    </w:p>
    <w:p>
      <w:r>
        <w:rPr>
          <w:rFonts w:ascii="STFangsong" w:hAnsi="STFangsong" w:eastAsia="STFangsong"/>
        </w:rPr>
        <w:t xml:space="preserve">  空闲时段: 分析失败</w:t>
      </w:r>
    </w:p>
    <w:p>
      <w:pPr>
        <w:pStyle w:val="ListParagraph"/>
      </w:pPr>
      <w:r>
        <w:rPr>
          <w:rFonts w:ascii="STFangsong" w:hAnsi="STFangsong" w:eastAsia="STFangsong"/>
        </w:rPr>
        <w:t>• 区域五: 分析失败</w:t>
      </w:r>
    </w:p>
    <w:p>
      <w:r>
        <w:rPr>
          <w:rFonts w:ascii="STFangsong" w:hAnsi="STFangsong" w:eastAsia="STFangsong"/>
        </w:rPr>
        <w:t xml:space="preserve">  空闲时段: 分析失败</w:t>
      </w:r>
    </w:p>
    <w:p>
      <w:pPr>
        <w:pStyle w:val="ListParagraph"/>
      </w:pPr>
      <w:r>
        <w:rPr>
          <w:rFonts w:ascii="STFangsong" w:hAnsi="STFangsong" w:eastAsia="STFangsong"/>
        </w:rPr>
        <w:t>• 区域四: 分析失败</w:t>
      </w:r>
    </w:p>
    <w:p>
      <w:r>
        <w:rPr>
          <w:rFonts w:ascii="STFangsong" w:hAnsi="STFangsong" w:eastAsia="STFangsong"/>
        </w:rPr>
        <w:t xml:space="preserve">  空闲时段: 分析失败</w:t>
      </w:r>
    </w:p>
    <w:p>
      <w:pPr>
        <w:pStyle w:val="ListParagraph"/>
      </w:pPr>
      <w:r>
        <w:rPr>
          <w:rFonts w:ascii="STFangsong" w:hAnsi="STFangsong" w:eastAsia="STFangsong"/>
        </w:rPr>
        <w:t>• 天鹅湖: 分析失败</w:t>
      </w:r>
    </w:p>
    <w:p>
      <w:r>
        <w:rPr>
          <w:rFonts w:ascii="STFangsong" w:hAnsi="STFangsong" w:eastAsia="STFangsong"/>
        </w:rPr>
        <w:t xml:space="preserve">  空闲时段: 分析失败</w:t>
      </w:r>
    </w:p>
    <w:p>
      <w:pPr>
        <w:pStyle w:val="ListParagraph"/>
      </w:pPr>
      <w:r>
        <w:rPr>
          <w:rFonts w:ascii="STFangsong" w:hAnsi="STFangsong" w:eastAsia="STFangsong"/>
        </w:rPr>
        <w:t>• 富民: 分析失败</w:t>
      </w:r>
    </w:p>
    <w:p>
      <w:r>
        <w:rPr>
          <w:rFonts w:ascii="STFangsong" w:hAnsi="STFangsong" w:eastAsia="STFangsong"/>
        </w:rPr>
        <w:t xml:space="preserve">  空闲时段: 分析失败</w:t>
      </w:r>
    </w:p>
    <w:p>
      <w:pPr>
        <w:pStyle w:val="ListParagraph"/>
      </w:pPr>
      <w:r>
        <w:rPr>
          <w:rFonts w:ascii="STFangsong" w:hAnsi="STFangsong" w:eastAsia="STFangsong"/>
        </w:rPr>
        <w:t>• 富民商贸615: 分析失败</w:t>
      </w:r>
    </w:p>
    <w:p>
      <w:r>
        <w:rPr>
          <w:rFonts w:ascii="STFangsong" w:hAnsi="STFangsong" w:eastAsia="STFangsong"/>
        </w:rPr>
        <w:t xml:space="preserve">  空闲时段: 分析失败</w:t>
      </w:r>
    </w:p>
    <w:p>
      <w:pPr>
        <w:pStyle w:val="ListParagraph"/>
      </w:pPr>
      <w:r>
        <w:rPr>
          <w:rFonts w:ascii="STFangsong" w:hAnsi="STFangsong" w:eastAsia="STFangsong"/>
        </w:rPr>
        <w:t>• 袁木桂: 分析失败</w:t>
      </w:r>
    </w:p>
    <w:p>
      <w:r>
        <w:rPr>
          <w:rFonts w:ascii="STFangsong" w:hAnsi="STFangsong" w:eastAsia="STFangsong"/>
        </w:rPr>
        <w:t xml:space="preserve">  空闲时段: 分析失败</w:t>
      </w:r>
    </w:p>
    <w:p>
      <w:pPr>
        <w:pStyle w:val="Heading2"/>
      </w:pPr>
      <w:r>
        <w:rPr>
          <w:rFonts w:ascii="STFangsong" w:hAnsi="STFangsong" w:eastAsia="STFangsong"/>
        </w:rPr>
        <w:t>异常时段说明</w:t>
      </w:r>
    </w:p>
    <w:p>
      <w:pPr>
        <w:pStyle w:val="ListParagraph"/>
      </w:pPr>
      <w:r>
        <w:rPr>
          <w:rFonts w:ascii="STFangsong" w:hAnsi="STFangsong" w:eastAsia="STFangsong"/>
        </w:rPr>
        <w:t>• **区域五 15:00-17:00**: 可能为夜间封闭区域</w:t>
      </w:r>
    </w:p>
    <w:p>
      <w:pPr>
        <w:pStyle w:val="ListParagraph"/>
      </w:pPr>
      <w:r>
        <w:rPr>
          <w:rFonts w:ascii="STFangsong" w:hAnsi="STFangsong" w:eastAsia="STFangsong"/>
        </w:rPr>
        <w:t>• **区域四 22:00-23:00**: 可能为交通枢纽夜间关闭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Fangsong" w:hAnsi="STFangsong" w:eastAsia="STFangsong"/>
          <w:i/>
        </w:rPr>
        <w:t>整体热力图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mgl_distribution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Fangsong" w:hAnsi="STFangsong" w:eastAsia="STFangsong"/>
          <w:i/>
        </w:rPr>
        <w:t>袁木桂分布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Fangsong" w:hAnsi="STFangsong" w:eastAsia="STFangsong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Fangsong" w:hAnsi="STFangsong" w:eastAsia="STFangsong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