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纯化水系统技术方案</w:t>
      </w:r>
    </w:p>
    <w:p>
      <w:r>
        <w:t>项目演示文件，仅用于验证 Word_Compare 文档对比功能。</w:t>
      </w:r>
    </w:p>
    <w:p>
      <w:pPr>
        <w:pStyle w:val="Heading1"/>
      </w:pPr>
      <w:r>
        <w:t>一、设计参数</w:t>
      </w:r>
    </w:p>
    <w:p>
      <w:r>
        <w:t>系统设计产水量为 10 m³/h，运行方式为全自动。</w:t>
      </w:r>
    </w:p>
    <w:p>
      <w:r>
        <w:t>压缩空气压力为 0.6～0.8 MPa。</w:t>
      </w:r>
    </w:p>
    <w:p>
      <w:r>
        <w:t>旧方案配置手动旁通阀。</w:t>
      </w:r>
    </w:p>
    <w:p>
      <w:r>
        <w:t>电源要求：380 V / 50 Hz。</w:t>
      </w:r>
    </w:p>
    <w:p>
      <w:pPr>
        <w:pStyle w:val="Heading1"/>
      </w:pPr>
      <w:r>
        <w:t>二、设备配置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设备名称</w:t>
            </w:r>
          </w:p>
        </w:tc>
        <w:tc>
          <w:tcPr>
            <w:tcW w:type="dxa" w:w="2160"/>
          </w:tcPr>
          <w:p>
            <w:r>
              <w:t>规格参数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原水泵</w:t>
            </w:r>
          </w:p>
        </w:tc>
        <w:tc>
          <w:tcPr>
            <w:tcW w:type="dxa" w:w="2160"/>
          </w:tcPr>
          <w:p>
            <w:r>
              <w:t>Q=12 m³/h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一用一备</w:t>
            </w:r>
          </w:p>
        </w:tc>
      </w:tr>
      <w:tr>
        <w:tc>
          <w:tcPr>
            <w:tcW w:type="dxa" w:w="2160"/>
          </w:tcPr>
          <w:p>
            <w:r>
              <w:t>反渗透主机</w:t>
            </w:r>
          </w:p>
        </w:tc>
        <w:tc>
          <w:tcPr>
            <w:tcW w:type="dxa" w:w="2160"/>
          </w:tcPr>
          <w:p>
            <w:r>
              <w:t>10 m³/h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自动运行</w:t>
            </w:r>
          </w:p>
        </w:tc>
      </w:tr>
      <w:tr>
        <w:tc>
          <w:tcPr>
            <w:tcW w:type="dxa" w:w="2160"/>
          </w:tcPr>
          <w:p>
            <w:r>
              <w:t>纯水箱</w:t>
            </w:r>
          </w:p>
        </w:tc>
        <w:tc>
          <w:tcPr>
            <w:tcW w:type="dxa" w:w="2160"/>
          </w:tcPr>
          <w:p>
            <w:r>
              <w:t>10 m³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材质 304</w:t>
            </w:r>
          </w:p>
        </w:tc>
      </w:tr>
    </w:tbl>
    <w:p>
      <w:pPr>
        <w:pStyle w:val="Heading1"/>
      </w:pPr>
      <w:r>
        <w:t>三、交付与维护</w:t>
      </w:r>
    </w:p>
    <w:p>
      <w:r>
        <w:rPr>
          <w:b w:val="0"/>
        </w:rPr>
        <w:t>该段文字内容不变，仅调整字体格式。</w:t>
      </w:r>
    </w:p>
    <w:p>
      <w:r>
        <w:t>操作员培训、现场调试和运行维护资料均包含在交付范围内。</w:t>
      </w:r>
    </w:p>
    <w:p>
      <w:r>
        <w:t>水质异常时，应检查仪表并按操作规程处理。</w:t>
      </w:r>
    </w:p>
    <w:p>
      <w:r>
        <w:t>方案示意图片：</w:t>
      </w:r>
    </w:p>
    <w:p>
      <w:r>
        <w:drawing>
          <wp:inline xmlns:a="http://schemas.openxmlformats.org/drawingml/2006/main" xmlns:pic="http://schemas.openxmlformats.org/drawingml/2006/picture">
            <wp:extent cx="25603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Word_Compare 演示文档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中标环保 · 技术方案原版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