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八章-质量保证方案主文档"/>
    <w:p>
      <w:pPr>
        <w:pStyle w:val="Heading1"/>
      </w:pPr>
      <w:r>
        <w:t xml:space="preserve">第八章 质量保证方案（主文档）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：湖南核工业宏华机械有限公司2026-2027年度钢材采购项目</w:t>
      </w:r>
      <w:r>
        <w:t xml:space="preserve"> </w:t>
      </w:r>
      <w:r>
        <w:rPr>
          <w:bCs/>
          <w:b/>
        </w:rPr>
        <w:t xml:space="preserve">采购编号</w:t>
      </w:r>
      <w:r>
        <w:t xml:space="preserve">：HBBB-XJD-26-01646</w:t>
      </w:r>
      <w:r>
        <w:t xml:space="preserve"> </w:t>
      </w:r>
      <w:r>
        <w:rPr>
          <w:bCs/>
          <w:b/>
        </w:rPr>
        <w:t xml:space="preserve">投标人</w:t>
      </w:r>
      <w:r>
        <w:t xml:space="preserve">：湖南联盛物资贸易有限公司（统一社会信用代码：91430400554910540T）</w:t>
      </w:r>
      <w:r>
        <w:t xml:space="preserve"> </w:t>
      </w:r>
      <w:r>
        <w:rPr>
          <w:bCs/>
          <w:b/>
        </w:rPr>
        <w:t xml:space="preserve">法定代表人</w:t>
      </w:r>
      <w:r>
        <w:t xml:space="preserve">：欧阳敏</w:t>
      </w:r>
      <w:r>
        <w:t xml:space="preserve"> </w:t>
      </w:r>
      <w:r>
        <w:rPr>
          <w:bCs/>
          <w:b/>
        </w:rPr>
        <w:t xml:space="preserve">地址</w:t>
      </w:r>
      <w:r>
        <w:t xml:space="preserve">：湖南省衡阳市石鼓区华源支路8-9号华耀城钢材大市场B4</w:t>
      </w:r>
    </w:p>
    <w:p>
      <w:pPr>
        <w:pStyle w:val="BlockText"/>
      </w:pPr>
      <w:r>
        <w:t xml:space="preserve">投标人身份数据来源：天眼查·工商信息-企业基本信息（查询日期2026年8月20日）。湖南联盛物资贸易有限公司成立于2010年5月，注册资本508万元人民币（实缴508万元），经营范围含”政策允许的金属材料加工及销售”，属金属及金属矿批发行业，注册于衡阳华耀城钢材大市场，与采购人同处衡阳市，具备本地化即时配送与现场服务的区位优势。</w:t>
      </w:r>
    </w:p>
    <w:p>
      <w:r>
        <w:pict>
          <v:rect style="width:0;height:1.5pt" o:hralign="center" o:hrstd="t" o:hr="t"/>
        </w:pict>
      </w:r>
    </w:p>
    <w:bookmarkStart w:id="20" w:name="第1节-质量目标与采购文件逐字对齐"/>
    <w:p>
      <w:pPr>
        <w:pStyle w:val="Heading2"/>
      </w:pPr>
      <w:r>
        <w:t xml:space="preserve">第1节 质量目标（与采购文件逐字对齐）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质量目标项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承诺值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货物质量标准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符合国家相关要求及采购文件技术规格书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天眼查·项目公告原文第2.4条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质保期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3个月</w:t>
            </w:r>
            <w:r>
              <w:t xml:space="preserve">（自到货验收合格之日起算）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天眼查·项目公告原文第1.5条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到货一次验收合格率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我方内部控制指标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质量异议响应时效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2小时内响应，衡阳地区24小时内到场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我方承诺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质量证明文件随货率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100%（钢厂质保书按炉批号随行）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我方承诺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一致性声明</w:t>
      </w:r>
      <w:r>
        <w:t xml:space="preserve">：本章全部承诺与应答函附录、商务偏离表、合同条款响应中的表述完全一致，无任何负偏离；如出现不一致，以对采购人更有利的承诺为准。</w:t>
      </w:r>
    </w:p>
    <w:bookmarkEnd w:id="20"/>
    <w:bookmarkStart w:id="25" w:name="第2节-质量保证体系与组织机构"/>
    <w:p>
      <w:pPr>
        <w:pStyle w:val="Heading2"/>
      </w:pPr>
      <w:r>
        <w:t xml:space="preserve">第2节 质量保证体系与组织机构</w:t>
      </w:r>
    </w:p>
    <w:bookmarkStart w:id="21" w:name="质量保证体系"/>
    <w:p>
      <w:pPr>
        <w:pStyle w:val="Heading3"/>
      </w:pPr>
      <w:r>
        <w:t xml:space="preserve">2.1 质量保证体系</w:t>
      </w:r>
    </w:p>
    <w:p>
      <w:pPr>
        <w:pStyle w:val="FirstParagraph"/>
      </w:pPr>
      <w:r>
        <w:t xml:space="preserve">本公司建立并运行覆盖”采购—验收—仓储—加工—配送—售后”全过程的质量管理制度（详见附件8.1《质量管理制度与组织机构》），制度要点：货源准入制度、进货检验制度、仓储防护制度、出库复核制度、质量追溯制度、质量异议处理制度。</w:t>
      </w:r>
    </w:p>
    <w:bookmarkEnd w:id="21"/>
    <w:bookmarkStart w:id="22" w:name="项目质量组织机构与岗位职责责任到人"/>
    <w:p>
      <w:pPr>
        <w:pStyle w:val="Heading3"/>
      </w:pPr>
      <w:r>
        <w:t xml:space="preserve">2.2 项目质量组织机构与岗位职责（责任到人）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项目质量第一责任人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欧阳敏（法定代表人）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对项目质量负总责，重大质量事项决策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统筹订单执行与质量协调，对接采购人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质量工程师（质检负责人）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进货检验、出库复核、质保书审核、异议判定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采购/渠道专员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钢厂准入审核、货源质量控制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仓储配送主管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仓储防护、标识管理、运输防护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售后服务专员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异议受理、现场处理、回访</w:t>
            </w:r>
          </w:p>
        </w:tc>
      </w:tr>
    </w:tbl>
    <w:p>
      <w:pPr>
        <w:pStyle w:val="BlockText"/>
      </w:pPr>
      <w:r>
        <w:t xml:space="preserve">注：人员姓名、资质证书编号按本公司实际情况填写并附劳动合同/社保及职称证明复印件（本公司为小微企业，人员信息以附件实报为准，不虚构）。</w:t>
      </w:r>
    </w:p>
    <w:bookmarkEnd w:id="22"/>
    <w:bookmarkStart w:id="23" w:name="质量目标分解与考核"/>
    <w:p>
      <w:pPr>
        <w:pStyle w:val="Heading3"/>
      </w:pPr>
      <w:r>
        <w:t xml:space="preserve">2.3 质量目标分解与考核</w:t>
      </w:r>
    </w:p>
    <w:p>
      <w:pPr>
        <w:pStyle w:val="FirstParagraph"/>
      </w:pPr>
      <w:r>
        <w:t xml:space="preserve">为使质量目标可测量、可考核，将总目标分解到各环节并与岗位职责挂钩：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分解指标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货源环节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合格货源名录内采购比例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每月核对采购记录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进货检验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批次检验覆盖率 100%，漏检率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检验记录抽查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出库复核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错发、漏发、单据不符次数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发货记录与采购人反馈比对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到货验收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一次验收合格率 ≥99%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采购人验收单统计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响应及时率 100%，闭环率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异议台账核查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追溯管理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质保书台账登记完整率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月度审查</w:t>
            </w:r>
          </w:p>
        </w:tc>
      </w:tr>
    </w:tbl>
    <w:p>
      <w:pPr>
        <w:pStyle w:val="BodyText"/>
      </w:pPr>
      <w:r>
        <w:t xml:space="preserve">未达标环节由项目经理牵头分析原因，纳入月度质量例会通报并制定纠正措施。</w:t>
      </w:r>
    </w:p>
    <w:bookmarkEnd w:id="23"/>
    <w:bookmarkStart w:id="24" w:name="人员能力与培训保障"/>
    <w:p>
      <w:pPr>
        <w:pStyle w:val="Heading3"/>
      </w:pPr>
      <w:r>
        <w:t xml:space="preserve">2.4 人员能力与培训保障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上岗要求</w:t>
      </w:r>
      <w:r>
        <w:t xml:space="preserve">：质量工程师须熟悉钢材国家标准与检验方法，能独立操作光谱仪、测厚仪等设备；仓储配送人员须经钢材防护与标识管理培训合格后上岗；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年度培训计划</w:t>
      </w:r>
      <w:r>
        <w:t xml:space="preserve">：每年不少于2次质量专题培训，内容包括新标准换版（如GB/T系列修订）、核工业客户特殊要求、典型质量案例复盘；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培训记录</w:t>
      </w:r>
      <w:r>
        <w:t xml:space="preserve">：培训签到、考核结果归档备查，纳入岗位考核；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关键岗位备份</w:t>
      </w:r>
      <w:r>
        <w:t xml:space="preserve">：质量检验与售后岗位设AB角，确保任何时点检验与服务不断档。</w:t>
      </w:r>
    </w:p>
    <w:bookmarkEnd w:id="24"/>
    <w:bookmarkEnd w:id="25"/>
    <w:bookmarkStart w:id="26" w:name="第3节-货源质量控制钢厂品牌与渠道保障"/>
    <w:p>
      <w:pPr>
        <w:pStyle w:val="Heading2"/>
      </w:pPr>
      <w:r>
        <w:t xml:space="preserve">第3节 货源质量控制——钢厂品牌与渠道保障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钢厂直供/一级代理渠道</w:t>
      </w:r>
      <w:r>
        <w:t xml:space="preserve">：常备合作钢厂【如：华菱钢铁（湖南本土）、涟钢、冷钢、萍钢、沙钢等，按实际填写】，所有钢材索取钢厂原始质量证明书，杜绝来源不明材料；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货源准入制度</w:t>
      </w:r>
      <w:r>
        <w:t xml:space="preserve">：新货源须经质量工程师审核钢厂生产许可证、质量管理体系认证及历史供货质量记录，列入《合格货源名录》后方可采购（表单见附件8.5-表1）；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品类对应主流牌号</w:t>
      </w:r>
      <w:r>
        <w:t xml:space="preserve">：钢板（Q235B/Q355B）、花纹钢板（Q235B）、方管/矩形管（Q235B/Q355B）、圆钢（45#/Q235B）、不锈钢板（304/316L），均执行现行国家标准（具体技术响应见应答文件第六章）；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本地化现货优势</w:t>
      </w:r>
      <w:r>
        <w:t xml:space="preserve">：公司经营场所位于衡阳华耀城钢材大市场（来源：天眼查·企业基本信息），常备库存可实现快速分拣、加工与配送，支撑”按甲方通知每月一至两次供货”及临时追加需求。</w:t>
      </w:r>
    </w:p>
    <w:bookmarkEnd w:id="26"/>
    <w:bookmarkStart w:id="27" w:name="第4节-分品类质量控制点针对性措施"/>
    <w:p>
      <w:pPr>
        <w:pStyle w:val="Heading2"/>
      </w:pPr>
      <w:r>
        <w:t xml:space="preserve">第4节 分品类质量控制点（针对性措施）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品类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关键质量控制点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牌号、厚度偏差、表面质量、力学性能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核对质保书炉批号；抽测厚度（测厚仪）；表面目视检查无裂纹、分层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花纹钢板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花纹高度、基板厚度、外形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按GB/T 3277抽测花纹高度与尺寸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方管/矩形管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壁厚偏差、焊缝质量、弯曲度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按GB/T 6728抽测壁厚与外廓尺寸；焊缝目视检查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直径偏差、表面缺陷、材质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按GB/T 702抽测直径；光谱抽检材质（不锈钢及合金钢）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不锈钢板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材质成分、表面等级、厚度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手持光谱仪逐批抽验Cr、Ni、Mo含量；核对表面加工等级（2B/BA/NO.1）</w:t>
            </w:r>
          </w:p>
        </w:tc>
      </w:tr>
    </w:tbl>
    <w:bookmarkEnd w:id="27"/>
    <w:bookmarkStart w:id="28" w:name="第5节-质量检验与追溯"/>
    <w:p>
      <w:pPr>
        <w:pStyle w:val="Heading2"/>
      </w:pPr>
      <w:r>
        <w:t xml:space="preserve">第5节 质量检验与追溯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三级检验</w:t>
      </w:r>
      <w:r>
        <w:t xml:space="preserve">：货源出厂检验（钢厂）→ 进货检验（本公司质检，程序见附件8.2）→ 到货联合验收（配合采购人）；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检验计划</w:t>
      </w:r>
      <w:r>
        <w:t xml:space="preserve">：按附件8.3《质量检验计划（ITP）》执行，明确各品类检验项目、方法、抽样比例、判定依据与记录表单；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第三方复检</w:t>
      </w:r>
      <w:r>
        <w:t xml:space="preserve">：对采购人有复验要求的批次，委托具备CMA/CNAS资质的检测机构复检并出具报告，费用由责任方承担；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全程追溯</w:t>
      </w:r>
      <w:r>
        <w:t xml:space="preserve">：以”炉批号+质保书编号”为追溯主线，建立《质保书台账》（附件8.5-表2），从钢厂到采购人用料现场逐批可追溯，质量记录保存期不少于5年——满足核工业装备制造客户对材料可追溯性的管理要求。</w:t>
      </w:r>
    </w:p>
    <w:bookmarkEnd w:id="28"/>
    <w:bookmarkStart w:id="29" w:name="第6节-质保期服务异议处理与追责补偿机制"/>
    <w:p>
      <w:pPr>
        <w:pStyle w:val="Heading2"/>
      </w:pPr>
      <w:r>
        <w:t xml:space="preserve">第6节 质保期服务、异议处理与追责补偿机制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质保期</w:t>
      </w:r>
      <w:r>
        <w:t xml:space="preserve">：3个月，自到货验收合格之日起算（与采购公告一致）；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质保范围</w:t>
      </w:r>
      <w:r>
        <w:t xml:space="preserve">：因材料本身质量（成分、性能、内部缺陷）引起的问题，我方免费退换货并承担由此产生的运输、装卸费用；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异议处理时效</w:t>
      </w:r>
      <w:r>
        <w:t xml:space="preserve">（SOP详见附件8.4）：2小时内响应→衡阳地区24小时内到场→48小时内出具处理意见→确属我方责任的7日内完成退换货；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追责与补偿</w:t>
      </w:r>
      <w:r>
        <w:t xml:space="preserve">：因我方供货质量造成采购人损失的，按合同约定承担赔偿责任；建立质量保证金意识，接受采购人按批次考核结果应用；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预防改进</w:t>
      </w:r>
      <w:r>
        <w:t xml:space="preserve">：每起质量异议形成《质量异议处理单》（附件8.5-表5）并闭环，每月向采购人提交质量分析报告。</w:t>
      </w:r>
    </w:p>
    <w:bookmarkEnd w:id="29"/>
    <w:bookmarkStart w:id="30" w:name="第7节-应急质量保障与运输防护"/>
    <w:p>
      <w:pPr>
        <w:pStyle w:val="Heading2"/>
      </w:pPr>
      <w:r>
        <w:t xml:space="preserve">第7节 应急质量保障与运输防护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运输防护</w:t>
      </w:r>
      <w:r>
        <w:t xml:space="preserve">：钢板/不锈钢板采用防潮包装+钢带捆扎+垫木隔层，防止运输变形、锈蚀、划伤；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运输损毁/遗失应对</w:t>
      </w:r>
      <w:r>
        <w:t xml:space="preserve">：运输车辆投保货运险；发生损毁时24小时内补发同规格合格品，损失由我方/保险承担，不影响采购人生产计划；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应急供应</w:t>
      </w:r>
      <w:r>
        <w:t xml:space="preserve">：常用规格保持安全库存；钢厂断供时启动备选货源名录（双渠道保障），紧急需求48小时内响应到货方案；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批次质量异常</w:t>
      </w:r>
      <w:r>
        <w:t xml:space="preserve">：接采购人反馈某批次异常时，立即冻结同炉批库存并主动排查，防止异常扩大。</w:t>
      </w:r>
    </w:p>
    <w:bookmarkEnd w:id="30"/>
    <w:bookmarkStart w:id="35" w:name="第8节-本项目重点难点分析与合理化建议"/>
    <w:p>
      <w:pPr>
        <w:pStyle w:val="Heading2"/>
      </w:pPr>
      <w:r>
        <w:t xml:space="preserve">第8节 本项目重点难点分析与合理化建议</w:t>
      </w:r>
    </w:p>
    <w:bookmarkStart w:id="31" w:name="重点难点分析"/>
    <w:p>
      <w:pPr>
        <w:pStyle w:val="Heading3"/>
      </w:pPr>
      <w:r>
        <w:t xml:space="preserve">8.1 重点难点分析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重难点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多品类小批量高频次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框架采购、每月一至两次、按通知供货，品类多达6类以上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常备库存+钢厂快订双轨；专人对接订单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核工业客户质量追溯要求高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采购人从事压力容器、放射性废物金属处理等业务（来源：天眼查·企业基本信息），材料追溯要求严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炉批号全程追溯、质保书电子化同步交付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不锈钢材质风险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市场存在以201冒充304等材质风险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手持光谱仪逐批自检+支持第三方复检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年度框架期钢价波动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接受以公开价格行情（如我的钢铁网）为基准的透明调价机制，协商写入合同</w:t>
            </w:r>
          </w:p>
        </w:tc>
      </w:tr>
    </w:tbl>
    <w:bookmarkEnd w:id="31"/>
    <w:bookmarkStart w:id="32" w:name="合理化建议"/>
    <w:p>
      <w:pPr>
        <w:pStyle w:val="Heading3"/>
      </w:pPr>
      <w:r>
        <w:t xml:space="preserve">8.2 合理化建议</w:t>
      </w:r>
    </w:p>
    <w:p>
      <w:pPr>
        <w:numPr>
          <w:ilvl w:val="0"/>
          <w:numId w:val="1006"/>
        </w:numPr>
        <w:pStyle w:val="Compact"/>
      </w:pPr>
      <w:r>
        <w:t xml:space="preserve">建议建立”月度供货计划+安全库存清单”联动机制，降低双方库存与断供成本；</w:t>
      </w:r>
    </w:p>
    <w:p>
      <w:pPr>
        <w:numPr>
          <w:ilvl w:val="0"/>
          <w:numId w:val="1006"/>
        </w:numPr>
        <w:pStyle w:val="Compact"/>
      </w:pPr>
      <w:r>
        <w:t xml:space="preserve">建议质保书电子化（扫描件随平台订单流转），提升验收效率；</w:t>
      </w:r>
    </w:p>
    <w:p>
      <w:pPr>
        <w:numPr>
          <w:ilvl w:val="0"/>
          <w:numId w:val="1006"/>
        </w:numPr>
        <w:pStyle w:val="Compact"/>
      </w:pPr>
      <w:r>
        <w:t xml:space="preserve">建议每季度召开质量联席会，通报批次质量数据，持续改进。</w:t>
      </w:r>
    </w:p>
    <w:bookmarkEnd w:id="32"/>
    <w:bookmarkStart w:id="33" w:name="质量风险识别与预控"/>
    <w:p>
      <w:pPr>
        <w:pStyle w:val="Heading3"/>
      </w:pPr>
      <w:r>
        <w:t xml:space="preserve">7.5 质量风险识别与预控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预控措施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材质混批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多品类多批次并行供货，存在混批错批风险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分区码放+批次标识+出库双人复核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价格波动断供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钢价剧烈波动时部分渠道惜售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双钢厂渠道+安全库存+透明调价机制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运输锈蚀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雨季运输受潮锈蚀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防雨布+防潮包装，到货外观100%检查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单据缺失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质保书遗失影响验收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质保书电子备份，钢厂补开通道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急单质量压缩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加急订单检验时间被压缩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急单检验标准不降低，检验与备货并行作业</w:t>
            </w:r>
          </w:p>
        </w:tc>
      </w:tr>
    </w:tbl>
    <w:bookmarkEnd w:id="33"/>
    <w:bookmarkStart w:id="34" w:name="信息化与文件管理措施"/>
    <w:p>
      <w:pPr>
        <w:pStyle w:val="Heading3"/>
      </w:pPr>
      <w:r>
        <w:t xml:space="preserve">8.3 信息化与文件管理措施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一单一档</w:t>
      </w:r>
      <w:r>
        <w:t xml:space="preserve">：每笔采购人订单建立电子档案包，含订单、质保书扫描件、检验记录、送货单、验收单，平台消息与邮件双备份；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台账联动</w:t>
      </w:r>
      <w:r>
        <w:t xml:space="preserve">：质保书台账（附件8.5-表2）与库存、发货数据每日核对，确保账实相符、批批可查；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数据报送</w:t>
      </w:r>
      <w:r>
        <w:t xml:space="preserve">：每月5日前向采购人报送上月《月度供货质量报告》；年度框架协议期满提交《年度质量总结报告》；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保密管理</w:t>
      </w:r>
      <w:r>
        <w:t xml:space="preserve">：涉及采购人用途、用量的信息按保密承诺（应答文件第十章）管理，仅限项目组知情。</w:t>
      </w:r>
    </w:p>
    <w:bookmarkEnd w:id="34"/>
    <w:bookmarkEnd w:id="35"/>
    <w:bookmarkStart w:id="36" w:name="第9节-与其他章节的衔接"/>
    <w:p>
      <w:pPr>
        <w:pStyle w:val="Heading2"/>
      </w:pPr>
      <w:r>
        <w:t xml:space="preserve">第9节 与其他章节的衔接</w:t>
      </w:r>
    </w:p>
    <w:p>
      <w:pPr>
        <w:numPr>
          <w:ilvl w:val="0"/>
          <w:numId w:val="1008"/>
        </w:numPr>
        <w:pStyle w:val="Compact"/>
      </w:pPr>
      <w:r>
        <w:t xml:space="preserve">技术参数响应：见应答文件第六章《技术规格响应与偏离表》，本章质量标准与之完全一致；</w:t>
      </w:r>
    </w:p>
    <w:p>
      <w:pPr>
        <w:numPr>
          <w:ilvl w:val="0"/>
          <w:numId w:val="1008"/>
        </w:numPr>
        <w:pStyle w:val="Compact"/>
      </w:pPr>
      <w:r>
        <w:t xml:space="preserve">供货节奏与物流：见第七章《供货组织实施方案》，本章应急与运输防护措施与之衔接；</w:t>
      </w:r>
    </w:p>
    <w:p>
      <w:pPr>
        <w:numPr>
          <w:ilvl w:val="0"/>
          <w:numId w:val="1008"/>
        </w:numPr>
        <w:pStyle w:val="Compact"/>
      </w:pPr>
      <w:r>
        <w:t xml:space="preserve">售后与回访：见第九章《售后服务方案》，本章质保期服务时效与之统一。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附件</w:t>
      </w:r>
      <w:r>
        <w:t xml:space="preserve">：8.1 质量管理制度与组织机构；8.2 进货检验与验收控制程序；8.3 质量检验计划（ITP）；8.4 不合格品控制与质量异议处理SOP；8.5 质量记录表单包；8.6 评分点对照索引。</w:t>
      </w:r>
    </w:p>
    <w:p>
      <w:pPr>
        <w:pStyle w:val="BodyText"/>
      </w:pPr>
      <w:r>
        <w:t xml:space="preserve">湖南联盛物资贸易有限公司（盖章）</w:t>
      </w:r>
      <w:r>
        <w:t xml:space="preserve"> </w:t>
      </w:r>
      <w:r>
        <w:t xml:space="preserve">法定代表人或委托代理人（签字）：</w:t>
      </w:r>
      <w:r>
        <w:t xml:space="preserve"> </w:t>
      </w:r>
      <w:r>
        <w:t xml:space="preserve">日期：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2026-08-20T16:09:41Z</dcterms:created>
  <dcterms:modified xsi:type="dcterms:W3CDTF">2026-08-20T16:09:41Z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