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附件8.2-进货检验与验收控制程序"/>
    <w:p>
      <w:pPr>
        <w:pStyle w:val="Heading1"/>
      </w:pPr>
      <w:r>
        <w:t xml:space="preserve">附件8.2 进货检验与验收控制程序</w:t>
      </w:r>
    </w:p>
    <w:p>
      <w:pPr>
        <w:pStyle w:val="FirstParagraph"/>
      </w:pPr>
      <w:r>
        <w:rPr>
          <w:bCs/>
          <w:b/>
        </w:rPr>
        <w:t xml:space="preserve">项目</w:t>
      </w:r>
      <w:r>
        <w:t xml:space="preserve">：湖南核工业宏华机械有限公司2026-2027年度钢材采购项目（HBBB-XJD-26-01646）</w:t>
      </w:r>
      <w:r>
        <w:t xml:space="preserve"> </w:t>
      </w:r>
      <w:r>
        <w:rPr>
          <w:bCs/>
          <w:b/>
        </w:rPr>
        <w:t xml:space="preserve">投标人</w:t>
      </w:r>
      <w:r>
        <w:t xml:space="preserve">：湖南联盛物资贸易有限公司（统一社会信用代码：91430400554910540T）</w:t>
      </w:r>
    </w:p>
    <w:p>
      <w:r>
        <w:pict>
          <v:rect style="width:0;height:1.5pt" o:hralign="center" o:hrstd="t" o:hr="t"/>
        </w:pict>
      </w:r>
    </w:p>
    <w:bookmarkStart w:id="20" w:name="目的与适用范围"/>
    <w:p>
      <w:pPr>
        <w:pStyle w:val="Heading2"/>
      </w:pPr>
      <w:r>
        <w:t xml:space="preserve">1 目的与适用范围</w:t>
      </w:r>
    </w:p>
    <w:p>
      <w:pPr>
        <w:pStyle w:val="FirstParagraph"/>
      </w:pPr>
      <w:r>
        <w:t xml:space="preserve">确保交付采购人的钢板、花纹钢板、方管、矩形管、圆钢、不锈钢板等全部钢材（来源：天眼查·项目公告原文第2.1条）符合国家标准及技术规格书要求。适用于本公司为本项目组织的所有批次的进货检验、仓储期间保管与出库复核、到货联合验收。</w:t>
      </w:r>
    </w:p>
    <w:bookmarkEnd w:id="20"/>
    <w:bookmarkStart w:id="21" w:name="检验流程"/>
    <w:p>
      <w:pPr>
        <w:pStyle w:val="Heading2"/>
      </w:pPr>
      <w:r>
        <w:t xml:space="preserve">2 检验流程</w:t>
      </w:r>
    </w:p>
    <w:p>
      <w:pPr>
        <w:pStyle w:val="SourceCode"/>
      </w:pPr>
      <w:r>
        <w:rPr>
          <w:rStyle w:val="VerbatimChar"/>
        </w:rPr>
        <w:t xml:space="preserve">货源到货 → 单据核对（质保书/送货单/合同）→ 外观检验 → 尺寸抽检</w:t>
      </w:r>
      <w:r>
        <w:br/>
      </w:r>
      <w:r>
        <w:rPr>
          <w:rStyle w:val="VerbatimChar"/>
        </w:rPr>
        <w:t xml:space="preserve">→ 材质抽检（必要时光谱）→ 判定 → 合格：入库登记/标识；不合格：隔离处置</w:t>
      </w:r>
      <w:r>
        <w:br/>
      </w:r>
      <w:r>
        <w:rPr>
          <w:rStyle w:val="VerbatimChar"/>
        </w:rPr>
        <w:t xml:space="preserve">→ 出库复核（发货前）→ 到货联合验收（采购人现场）</w:t>
      </w:r>
    </w:p>
    <w:bookmarkEnd w:id="21"/>
    <w:bookmarkStart w:id="27" w:name="进货检验要求"/>
    <w:p>
      <w:pPr>
        <w:pStyle w:val="Heading2"/>
      </w:pPr>
      <w:r>
        <w:t xml:space="preserve">3 进货检验要求</w:t>
      </w:r>
    </w:p>
    <w:bookmarkStart w:id="22" w:name="单据核对100批次"/>
    <w:p>
      <w:pPr>
        <w:pStyle w:val="Heading3"/>
      </w:pPr>
      <w:r>
        <w:t xml:space="preserve">3.1 单据核对（100%批次）</w:t>
      </w:r>
    </w:p>
    <w:p>
      <w:pPr>
        <w:numPr>
          <w:ilvl w:val="0"/>
          <w:numId w:val="1001"/>
        </w:numPr>
        <w:pStyle w:val="Compact"/>
      </w:pPr>
      <w:r>
        <w:t xml:space="preserve">核对钢厂质量证明书（材质单）：牌号、炉批号、规格、执行标准、化学成分、力学性能；</w:t>
      </w:r>
    </w:p>
    <w:p>
      <w:pPr>
        <w:numPr>
          <w:ilvl w:val="0"/>
          <w:numId w:val="1001"/>
        </w:numPr>
        <w:pStyle w:val="Compact"/>
      </w:pPr>
      <w:r>
        <w:t xml:space="preserve">质保书须为钢厂原件或与钢厂系统可核验的副本，编号与实物标识一致；</w:t>
      </w:r>
    </w:p>
    <w:p>
      <w:pPr>
        <w:numPr>
          <w:ilvl w:val="0"/>
          <w:numId w:val="1001"/>
        </w:numPr>
        <w:pStyle w:val="Compact"/>
      </w:pPr>
      <w:r>
        <w:t xml:space="preserve">发现质保书缺失或与实物不符，批次冻结，不得入库发货。</w:t>
      </w:r>
    </w:p>
    <w:bookmarkEnd w:id="22"/>
    <w:bookmarkStart w:id="23" w:name="外观检验100批次目视"/>
    <w:p>
      <w:pPr>
        <w:pStyle w:val="Heading3"/>
      </w:pPr>
      <w:r>
        <w:t xml:space="preserve">3.2 外观检验（100%批次目视）</w:t>
      </w:r>
    </w:p>
    <w:p>
      <w:pPr>
        <w:numPr>
          <w:ilvl w:val="0"/>
          <w:numId w:val="1002"/>
        </w:numPr>
        <w:pStyle w:val="Compact"/>
      </w:pPr>
      <w:r>
        <w:t xml:space="preserve">钢板/花纹板：无裂纹、结疤、分层、明显锈蚀压痕；花纹清晰完整；</w:t>
      </w:r>
    </w:p>
    <w:p>
      <w:pPr>
        <w:numPr>
          <w:ilvl w:val="0"/>
          <w:numId w:val="1002"/>
        </w:numPr>
        <w:pStyle w:val="Compact"/>
      </w:pPr>
      <w:r>
        <w:t xml:space="preserve">方管/矩形管：焊缝平直无开裂、无漏焊，切口平整，无明显弯曲扭曲；</w:t>
      </w:r>
    </w:p>
    <w:p>
      <w:pPr>
        <w:numPr>
          <w:ilvl w:val="0"/>
          <w:numId w:val="1002"/>
        </w:numPr>
        <w:pStyle w:val="Compact"/>
      </w:pPr>
      <w:r>
        <w:t xml:space="preserve">圆钢：表面无折叠、裂纹、耳子；</w:t>
      </w:r>
    </w:p>
    <w:p>
      <w:pPr>
        <w:numPr>
          <w:ilvl w:val="0"/>
          <w:numId w:val="1002"/>
        </w:numPr>
        <w:pStyle w:val="Compact"/>
      </w:pPr>
      <w:r>
        <w:t xml:space="preserve">不锈钢板：表面等级符合订单（2B/BA/NO.1等），无划伤、氧化色、夹杂。</w:t>
      </w:r>
    </w:p>
    <w:bookmarkEnd w:id="23"/>
    <w:bookmarkStart w:id="24" w:name="尺寸抽检每批抽3-5件"/>
    <w:p>
      <w:pPr>
        <w:pStyle w:val="Heading3"/>
      </w:pPr>
      <w:r>
        <w:t xml:space="preserve">3.3 尺寸抽检（每批抽3-5件）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品类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抽检项目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厚度、宽度、长度、不平度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测厚仪、卷尺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3274及技术规格书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花纹钢板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基板厚度、花纹高度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测厚仪、卡尺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3277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方管/矩形管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边长、壁厚、弯曲度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卡尺、卷尺、塞尺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6728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直径、椭圆度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不锈钢板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厚度、宽度、平直度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测厚仪、卷尺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4237/GB/T 3280</w:t>
            </w:r>
          </w:p>
        </w:tc>
      </w:tr>
    </w:tbl>
    <w:bookmarkEnd w:id="24"/>
    <w:bookmarkStart w:id="25" w:name="材质抽检"/>
    <w:p>
      <w:pPr>
        <w:pStyle w:val="Heading3"/>
      </w:pPr>
      <w:r>
        <w:t xml:space="preserve">3.4 材质抽检</w:t>
      </w:r>
    </w:p>
    <w:p>
      <w:pPr>
        <w:numPr>
          <w:ilvl w:val="0"/>
          <w:numId w:val="1003"/>
        </w:numPr>
        <w:pStyle w:val="Compact"/>
      </w:pPr>
      <w:r>
        <w:t xml:space="preserve">不锈钢板</w:t>
      </w:r>
      <w:r>
        <w:rPr>
          <w:bCs/>
          <w:b/>
        </w:rPr>
        <w:t xml:space="preserve">逐批</w:t>
      </w:r>
      <w:r>
        <w:t xml:space="preserve">手持光谱仪抽验Cr、Ni、Mo含量，区分304/316L等牌号；</w:t>
      </w:r>
    </w:p>
    <w:p>
      <w:pPr>
        <w:numPr>
          <w:ilvl w:val="0"/>
          <w:numId w:val="1003"/>
        </w:numPr>
        <w:pStyle w:val="Compact"/>
      </w:pPr>
      <w:r>
        <w:t xml:space="preserve">碳钢按批次抽验（每≤5批抽1批），或与钢厂质保书化学成分核对；</w:t>
      </w:r>
    </w:p>
    <w:p>
      <w:pPr>
        <w:numPr>
          <w:ilvl w:val="0"/>
          <w:numId w:val="1003"/>
        </w:numPr>
        <w:pStyle w:val="Compact"/>
      </w:pPr>
      <w:r>
        <w:t xml:space="preserve">采购人要求第三方复检的，送CMA/CNAS资质机构检测。</w:t>
      </w:r>
    </w:p>
    <w:bookmarkEnd w:id="25"/>
    <w:bookmarkStart w:id="26" w:name="判定与处置"/>
    <w:p>
      <w:pPr>
        <w:pStyle w:val="Heading3"/>
      </w:pPr>
      <w:r>
        <w:t xml:space="preserve">3.5 判定与处置</w:t>
      </w:r>
    </w:p>
    <w:p>
      <w:pPr>
        <w:numPr>
          <w:ilvl w:val="0"/>
          <w:numId w:val="1004"/>
        </w:numPr>
        <w:pStyle w:val="Compact"/>
      </w:pPr>
      <w:r>
        <w:t xml:space="preserve">全部项目合格→判定合格，登记《进货检验记录》（附件8.5-表3），贴批次标识入库；</w:t>
      </w:r>
    </w:p>
    <w:p>
      <w:pPr>
        <w:numPr>
          <w:ilvl w:val="0"/>
          <w:numId w:val="1004"/>
        </w:numPr>
        <w:pStyle w:val="Compact"/>
      </w:pPr>
      <w:r>
        <w:t xml:space="preserve">任一项目不合格→隔离堆放、红色标识，启动不合格品处置（附件8.4），该批不得发往采购人。</w:t>
      </w:r>
    </w:p>
    <w:bookmarkEnd w:id="26"/>
    <w:bookmarkEnd w:id="27"/>
    <w:bookmarkStart w:id="28" w:name="仓储防护"/>
    <w:p>
      <w:pPr>
        <w:pStyle w:val="Heading2"/>
      </w:pPr>
      <w:r>
        <w:t xml:space="preserve">4 仓储防护</w:t>
      </w:r>
    </w:p>
    <w:p>
      <w:pPr>
        <w:numPr>
          <w:ilvl w:val="0"/>
          <w:numId w:val="1005"/>
        </w:numPr>
        <w:pStyle w:val="Compact"/>
      </w:pPr>
      <w:r>
        <w:t xml:space="preserve">室内/棚内码放，垫木离地≥100mm，防潮防锈；不锈钢与碳钢分区存放，防止铁离子污染；</w:t>
      </w:r>
    </w:p>
    <w:p>
      <w:pPr>
        <w:numPr>
          <w:ilvl w:val="0"/>
          <w:numId w:val="1005"/>
        </w:numPr>
        <w:pStyle w:val="Compact"/>
      </w:pPr>
      <w:r>
        <w:t xml:space="preserve">标识牌注明品名、规格、牌号、炉批号、检验状态；执行先进先出。</w:t>
      </w:r>
    </w:p>
    <w:bookmarkEnd w:id="28"/>
    <w:bookmarkStart w:id="29" w:name="出库复核发货前100"/>
    <w:p>
      <w:pPr>
        <w:pStyle w:val="Heading2"/>
      </w:pPr>
      <w:r>
        <w:t xml:space="preserve">5 出库复核（发货前100%）</w:t>
      </w:r>
    </w:p>
    <w:p>
      <w:pPr>
        <w:pStyle w:val="FirstParagraph"/>
      </w:pPr>
      <w:r>
        <w:t xml:space="preserve">核对发货清单与实物的品名、规格、数量、批次标识；核对随车质保书复印件与批次一致；装车防护检查（捆扎、垫木、防雨布）。</w:t>
      </w:r>
    </w:p>
    <w:bookmarkEnd w:id="29"/>
    <w:bookmarkStart w:id="30" w:name="到货联合验收"/>
    <w:p>
      <w:pPr>
        <w:pStyle w:val="Heading2"/>
      </w:pPr>
      <w:r>
        <w:t xml:space="preserve">6 到货联合验收</w:t>
      </w:r>
    </w:p>
    <w:p>
      <w:pPr>
        <w:numPr>
          <w:ilvl w:val="0"/>
          <w:numId w:val="1006"/>
        </w:numPr>
        <w:pStyle w:val="Compact"/>
      </w:pPr>
      <w:r>
        <w:t xml:space="preserve">配合采购人按合同与技术规格书验收，提供质保书、送货单、检验记录；</w:t>
      </w:r>
    </w:p>
    <w:p>
      <w:pPr>
        <w:numPr>
          <w:ilvl w:val="0"/>
          <w:numId w:val="1006"/>
        </w:numPr>
        <w:pStyle w:val="Compact"/>
      </w:pPr>
      <w:r>
        <w:t xml:space="preserve">验收异议当场登记，按附件8.4时效处理；验收合格签署验收单，质保期（3个月）自此起算。</w:t>
      </w:r>
    </w:p>
    <w:bookmarkEnd w:id="30"/>
    <w:bookmarkStart w:id="31" w:name="计量器具管理"/>
    <w:p>
      <w:pPr>
        <w:pStyle w:val="Heading2"/>
      </w:pPr>
      <w:r>
        <w:t xml:space="preserve">7 计量器具管理</w:t>
      </w:r>
    </w:p>
    <w:p>
      <w:pPr>
        <w:pStyle w:val="FirstParagraph"/>
      </w:pPr>
      <w:r>
        <w:t xml:space="preserve">测厚仪、卡尺、卷尺、光谱仪、磅秤均建立台账，按周期检定/校准并留存证书，超期器具禁止使用（表单见附件8.5-表6）。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2026-08-20T16:06:41Z</dcterms:created>
  <dcterms:modified xsi:type="dcterms:W3CDTF">2026-08-20T16:06:41Z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