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附件8.4-不合格品控制与质量异议处理-sop"/>
    <w:p>
      <w:pPr>
        <w:pStyle w:val="Heading1"/>
      </w:pPr>
      <w:r>
        <w:t xml:space="preserve">附件8.4 不合格品控制与质量异议处理 SOP</w:t>
      </w:r>
    </w:p>
    <w:p>
      <w:pPr>
        <w:pStyle w:val="FirstParagraph"/>
      </w:pPr>
      <w:r>
        <w:rPr>
          <w:bCs/>
          <w:b/>
        </w:rPr>
        <w:t xml:space="preserve">项目</w:t>
      </w:r>
      <w:r>
        <w:t xml:space="preserve">：湖南核工业宏华机械有限公司2026-2027年度钢材采购项目（HBBB-XJD-26-01646）</w:t>
      </w:r>
      <w:r>
        <w:t xml:space="preserve"> </w:t>
      </w:r>
      <w:r>
        <w:rPr>
          <w:bCs/>
          <w:b/>
        </w:rPr>
        <w:t xml:space="preserve">投标人</w:t>
      </w:r>
      <w:r>
        <w:t xml:space="preserve">：湖南联盛物资贸易有限公司（统一社会信用代码：91430400554910540T）</w:t>
      </w:r>
    </w:p>
    <w:p>
      <w:r>
        <w:pict>
          <v:rect style="width:0;height:1.5pt" o:hralign="center" o:hrstd="t" o:hr="t"/>
        </w:pict>
      </w:r>
    </w:p>
    <w:bookmarkStart w:id="23" w:name="不合格品控制程序"/>
    <w:p>
      <w:pPr>
        <w:pStyle w:val="Heading2"/>
      </w:pPr>
      <w:r>
        <w:t xml:space="preserve">1 不合格品控制程序</w:t>
      </w:r>
    </w:p>
    <w:bookmarkStart w:id="20" w:name="不合格品来源"/>
    <w:p>
      <w:pPr>
        <w:pStyle w:val="Heading3"/>
      </w:pPr>
      <w:r>
        <w:t xml:space="preserve">1.1 不合格品来源</w:t>
      </w:r>
    </w:p>
    <w:p>
      <w:pPr>
        <w:pStyle w:val="FirstParagraph"/>
      </w:pPr>
      <w:r>
        <w:t xml:space="preserve">进货检验不合格批次、仓储期间锈蚀/损伤批次、出库复核不符批次、采购人验收退回批次。</w:t>
      </w:r>
    </w:p>
    <w:bookmarkEnd w:id="20"/>
    <w:bookmarkStart w:id="21" w:name="处置流程时限"/>
    <w:p>
      <w:pPr>
        <w:pStyle w:val="Heading3"/>
      </w:pPr>
      <w:r>
        <w:t xml:space="preserve">1.2 处置流程（时限）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发现</w:t>
      </w:r>
      <w:r>
        <w:t xml:space="preserve">（即时）：任何岗位发现不合格立即报告质量工程师；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标识与隔离</w:t>
      </w:r>
      <w:r>
        <w:t xml:space="preserve">（2小时内）：红色”不合格”标识，移至隔离区，系统/台账锁定该批次；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评审</w:t>
      </w:r>
      <w:r>
        <w:t xml:space="preserve">（24小时内）：质量工程师会同项目经理评审，确定处置方式：退货（钢厂）、换货、降级改作他用（仅限非本项目）、报废；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处置执行</w:t>
      </w:r>
      <w:r>
        <w:t xml:space="preserve">（7日内完成）：与钢厂办理退换；处置结果记入《不合格品处置单》（附件8.5-表7）；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纠正预防</w:t>
      </w:r>
      <w:r>
        <w:t xml:space="preserve">：分析原因（货源/运输/仓储），更新货源名录或防护措施，防止再发。</w:t>
      </w:r>
    </w:p>
    <w:bookmarkEnd w:id="21"/>
    <w:bookmarkStart w:id="22" w:name="铁律"/>
    <w:p>
      <w:pPr>
        <w:pStyle w:val="Heading3"/>
      </w:pPr>
      <w:r>
        <w:t xml:space="preserve">1.3 铁律</w:t>
      </w:r>
    </w:p>
    <w:p>
      <w:pPr>
        <w:pStyle w:val="FirstParagraph"/>
      </w:pPr>
      <w:r>
        <w:rPr>
          <w:bCs/>
          <w:b/>
        </w:rPr>
        <w:t xml:space="preserve">任何不合格批次不得以任何形式发往采购人现场</w:t>
      </w:r>
      <w:r>
        <w:t xml:space="preserve">；违者按公司制度追责。</w:t>
      </w:r>
    </w:p>
    <w:bookmarkEnd w:id="22"/>
    <w:bookmarkEnd w:id="23"/>
    <w:bookmarkStart w:id="26" w:name="质量异议处理-sop对采购人"/>
    <w:p>
      <w:pPr>
        <w:pStyle w:val="Heading2"/>
      </w:pPr>
      <w:r>
        <w:t xml:space="preserve">2 质量异议处理 SOP（对采购人）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接收采购人异议（电话/平台/书面），登记《质量异议处理单》（附件8.5-表5）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售后服务专员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向采购人反馈受理确认，初步判断问题类别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售后服务专员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≤24小时（衡阳地区）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现场核查，取样取证，核对炉批号与质保书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质量工程师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出具书面处理意见（退换货/协商/第三方鉴定）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完成退换货及补供，恢复采购人用料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原因分析、纠正措施、回访确认、台账销项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质量工程师</w:t>
            </w:r>
          </w:p>
        </w:tc>
      </w:tr>
    </w:tbl>
    <w:bookmarkStart w:id="24" w:name="异议分级"/>
    <w:p>
      <w:pPr>
        <w:pStyle w:val="Heading3"/>
      </w:pPr>
      <w:r>
        <w:t xml:space="preserve">2.1 异议分级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A级（重大）</w:t>
      </w:r>
      <w:r>
        <w:t xml:space="preserve">：材质不符、力学性能不合格、影响压力容器等关键用途——立即停供同炉批，法定代表人牵头处理；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B级（一般）</w:t>
      </w:r>
      <w:r>
        <w:t xml:space="preserve">：尺寸超差、表面缺陷、数量短少——按上表时限处理；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C级（轻微）</w:t>
      </w:r>
      <w:r>
        <w:t xml:space="preserve">：标识不清、单据瑕疵——当日补正。</w:t>
      </w:r>
    </w:p>
    <w:bookmarkEnd w:id="24"/>
    <w:bookmarkStart w:id="25" w:name="责任判定与补偿"/>
    <w:p>
      <w:pPr>
        <w:pStyle w:val="Heading3"/>
      </w:pPr>
      <w:r>
        <w:t xml:space="preserve">2.2 责任判定与补偿</w:t>
      </w:r>
    </w:p>
    <w:p>
      <w:pPr>
        <w:numPr>
          <w:ilvl w:val="0"/>
          <w:numId w:val="1003"/>
        </w:numPr>
        <w:pStyle w:val="Compact"/>
      </w:pPr>
      <w:r>
        <w:t xml:space="preserve">属我方责任：免费退换货，承担运输装卸费，按合同约定赔偿直接损失；</w:t>
      </w:r>
    </w:p>
    <w:p>
      <w:pPr>
        <w:numPr>
          <w:ilvl w:val="0"/>
          <w:numId w:val="1003"/>
        </w:numPr>
        <w:pStyle w:val="Compact"/>
      </w:pPr>
      <w:r>
        <w:t xml:space="preserve">存疑责任：共同委托CMA/CNAS第三方检测，费用由责任方承担；</w:t>
      </w:r>
    </w:p>
    <w:p>
      <w:pPr>
        <w:numPr>
          <w:ilvl w:val="0"/>
          <w:numId w:val="1003"/>
        </w:numPr>
        <w:pStyle w:val="Compact"/>
      </w:pPr>
      <w:r>
        <w:t xml:space="preserve">属运输损毁：启动货运险理赔，我方先行补供，不让采购人生产停滞。</w:t>
      </w:r>
    </w:p>
    <w:bookmarkEnd w:id="25"/>
    <w:bookmarkEnd w:id="26"/>
    <w:bookmarkStart w:id="27" w:name="应急供应保障与主方案第7节联动"/>
    <w:p>
      <w:pPr>
        <w:pStyle w:val="Heading2"/>
      </w:pPr>
      <w:r>
        <w:t xml:space="preserve">3 应急供应保障（与主方案第7节联动）</w:t>
      </w:r>
    </w:p>
    <w:p>
      <w:pPr>
        <w:numPr>
          <w:ilvl w:val="0"/>
          <w:numId w:val="1004"/>
        </w:numPr>
        <w:pStyle w:val="Compact"/>
      </w:pPr>
      <w:r>
        <w:t xml:space="preserve">质量异议导致退换货期间，以安全库存先行补供，确保采购人”每月一至两次”供货节奏不受影响；</w:t>
      </w:r>
    </w:p>
    <w:p>
      <w:pPr>
        <w:numPr>
          <w:ilvl w:val="0"/>
          <w:numId w:val="1004"/>
        </w:numPr>
        <w:pStyle w:val="Compact"/>
      </w:pPr>
      <w:r>
        <w:t xml:space="preserve">建立双钢厂渠道，主渠道质量异常时48小时内切换备选货源；</w:t>
      </w:r>
    </w:p>
    <w:p>
      <w:pPr>
        <w:numPr>
          <w:ilvl w:val="0"/>
          <w:numId w:val="1004"/>
        </w:numPr>
        <w:pStyle w:val="Compact"/>
      </w:pPr>
      <w:r>
        <w:t xml:space="preserve">紧急情况联系接口：项目经理【电话】、售后服务专员【电话】、法定代表人欧阳敏【电话】。</w:t>
      </w:r>
    </w:p>
    <w:bookmarkEnd w:id="27"/>
    <w:bookmarkStart w:id="28" w:name="质量保证期管理"/>
    <w:p>
      <w:pPr>
        <w:pStyle w:val="Heading2"/>
      </w:pPr>
      <w:r>
        <w:t xml:space="preserve">4 质量保证期管理</w:t>
      </w:r>
    </w:p>
    <w:p>
      <w:pPr>
        <w:numPr>
          <w:ilvl w:val="0"/>
          <w:numId w:val="1005"/>
        </w:numPr>
        <w:pStyle w:val="Compact"/>
      </w:pPr>
      <w:r>
        <w:t xml:space="preserve">质保期3个月（自验收合格起算，与采购公告一致）；质保期内A级问题免费更换并承担相关费用；</w:t>
      </w:r>
    </w:p>
    <w:p>
      <w:pPr>
        <w:numPr>
          <w:ilvl w:val="0"/>
          <w:numId w:val="1005"/>
        </w:numPr>
        <w:pStyle w:val="Compact"/>
      </w:pPr>
      <w:r>
        <w:t xml:space="preserve">质保期满后回访一次，收集使用反馈，作为下一年度框架履约改进输入。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2026-08-20T16:06:42Z</dcterms:created>
  <dcterms:modified xsi:type="dcterms:W3CDTF">2026-08-20T16:06:42Z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