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路径乙海外旗舰模型引入可行性技术分析报告-v1.02026-09-01"/>
    <w:p>
      <w:pPr>
        <w:pStyle w:val="Heading1"/>
      </w:pPr>
      <w:r>
        <w:t xml:space="preserve">路径乙（海外旗舰模型引入）可行性技术分析报告 v1.0（2026-09-01）</w:t>
      </w:r>
    </w:p>
    <w:p>
      <w:pPr>
        <w:pStyle w:val="FirstParagraph"/>
      </w:pPr>
      <w:r>
        <w:t xml:space="preserve">委托：对路径乙观察全面审计可行性技术分析并出报告；用户明示「暂时容忍灰色地带以保证充分异质性」。</w:t>
      </w:r>
      <w:r>
        <w:t xml:space="preserve"> </w:t>
      </w:r>
      <w:r>
        <w:t xml:space="preserve">证据基线：外部旗舰模型引入考察报告 v1.0（n=259）+ 用户提供 OpenAI key（kimi_change）+ 用户侧截图实证 + 两路独立研究子代理（同质化审计/强制裁判落地核查）。</w:t>
      </w:r>
    </w:p>
    <w:bookmarkStart w:id="20" w:name="一账户与通道实证核验用户截图本席实测"/>
    <w:p>
      <w:pPr>
        <w:pStyle w:val="Heading2"/>
      </w:pPr>
      <w:r>
        <w:t xml:space="preserve">一、账户与通道实证核验（用户截图+本席实测）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ChatGPT 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账号在册（免费版），Codex/插件/资料库/项目全空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用户侧可用，非建制通道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项目默认，</w:t>
            </w:r>
            <w:r>
              <w:rPr>
                <w:bCs/>
                <w:b/>
              </w:rPr>
              <w:t xml:space="preserve">剩余信用 $0.00</w:t>
            </w:r>
            <w:r>
              <w:t xml:space="preserve">；API key「kimi_change」活跃（2026-09-01 创建，全部权限）；另有 2023 年三枚遗产用户 key（两枚 2023-03 后未用）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有效待充值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沙箱实测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HTTP:000</w:t>
            </w:r>
            <w:r>
              <w:t xml:space="preserve">（本沙箱出口无法连通 api.openai.com，地理封锁/出口限制）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沙箱直连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网页版已登录（免费档，Flash）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用户侧可用；API 未配置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claude.ai/new 链接提供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维持封存</w:t>
            </w:r>
            <w:r>
              <w:t xml:space="preserve">（厂商所有权穿透禁令=零合规路径；不入建制、不作依赖，用户个人账号行为不登记为建制通道）</w:t>
            </w:r>
          </w:p>
        </w:tc>
      </w:tr>
    </w:tbl>
    <w:p>
      <w:pPr>
        <w:pStyle w:val="BodyText"/>
      </w:pPr>
      <w:r>
        <w:t xml:space="preserve">key 托管：已封存 vault/openai_api_key.json（chmod 600，指纹 md5[:8]=992d9933，永不入正文）。</w:t>
      </w:r>
      <w:r>
        <w:rPr>
          <w:bCs/>
          <w:b/>
        </w:rPr>
        <w:t xml:space="preserve">安全提醒：该 key 明文已在对话正文出现，按卡 18 建议在 OpenAI 后台轮换一次</w:t>
      </w:r>
      <w:r>
        <w:t xml:space="preserve">；2023 年三枚遗产 key 建议一并删除。</w:t>
      </w:r>
    </w:p>
    <w:bookmarkEnd w:id="20"/>
    <w:bookmarkStart w:id="21" w:name="二路径乙三通道可行性技术结论"/>
    <w:p>
      <w:pPr>
        <w:pStyle w:val="Heading2"/>
      </w:pPr>
      <w:r>
        <w:t xml:space="preserve">二、路径乙三通道可行性技术结论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OpenAI API（观察级，双重 blocked）</w:t>
      </w:r>
      <w:r>
        <w:t xml:space="preserve">：①余额 $0.00——任何调用需先充值（境外支付卡，用户侧动作）；②本沙箱出口被地理封锁——即使充值，建制内直接调用不可行，须境外中继（又触转售/合规边界）。</w:t>
      </w:r>
      <w:r>
        <w:rPr>
          <w:bCs/>
          <w:b/>
        </w:rPr>
        <w:t xml:space="preserve">结论：短期不具建制可用性；保留 key 待「境外执行环境」出现再评估。</w:t>
      </w:r>
      <w:r>
        <w:t xml:space="preserve">若用户在本人电脑（可科学上网）侧用 Codex/网页版，属用户侧行为，可作异质性对照源。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Gemini（次优观察位）</w:t>
      </w:r>
      <w:r>
        <w:t xml:space="preserve">：网页免费档 Flash 可作观点对照（数据用于训练，禁敏感内容）；API 路径需境外支付+翻墙，同 OpenAI 困境。</w:t>
      </w:r>
      <w:r>
        <w:rPr>
          <w:bCs/>
          <w:b/>
        </w:rPr>
        <w:t xml:space="preserve">性价比角度：若未来充值，Gemini 3.7 Flash $0.75/$3.75（2027 前推广价）为国际量产档最优。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Claude（封存）</w:t>
      </w:r>
      <w:r>
        <w:t xml:space="preserve">：所有权禁令下建制引入=账号清零风险+违约；仅余用户个人网页行为，不评估。</w:t>
      </w:r>
    </w:p>
    <w:bookmarkEnd w:id="21"/>
    <w:bookmarkStart w:id="22" w:name="三同质化审计结论深度思考倾向专项"/>
    <w:p>
      <w:pPr>
        <w:pStyle w:val="Heading2"/>
      </w:pPr>
      <w:r>
        <w:t xml:space="preserve">三、同质化审计结论（「深度思考倾向」专项）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判定：强同质化</w:t>
      </w:r>
      <w:r>
        <w:t xml:space="preserve">——外部模型甲-R1（2025-01-20）后一个月内全行业跟进，RL（GRPO 类）+长 CoT 成默认配方；NeurIPS 2025 级别学术确认「蜂巢效应」（RL 未真正扩展推理边界）。注：星火 X1（2025-01-15）实际先于 R1 发布，「自 外部模型甲 以来」的归因需修正为「以 R1 为引爆点的行业收敛」。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强制裁判未缺席</w:t>
      </w:r>
      <w:r>
        <w:t xml:space="preserve">：强制裁判 5.5（2025-06-20）718B「强制裁判 Ultra 深度思考」+自适应快慢思考；差异化押在</w:t>
      </w:r>
      <w:r>
        <w:rPr>
          <w:bCs/>
          <w:b/>
        </w:rPr>
        <w:t xml:space="preserve">行业深度思考</w:t>
      </w:r>
      <w:r>
        <w:t xml:space="preserve">（医/金/政/工/车五大行业模型）而非通用推理竞赛。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对冲先例</w:t>
      </w:r>
      <w:r>
        <w:t xml:space="preserve">：腾讯助手甲「混元+外部模型甲 双模」、讯飞双引擎、昇腾首发适配 外部模型甲-V4——头部三家均以引入外部模型对冲趋同，</w:t>
      </w:r>
      <w:r>
        <w:rPr>
          <w:bCs/>
          <w:b/>
        </w:rPr>
        <w:t xml:space="preserve">用户「为异质性容忍灰区」的思路与行业实践同向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但</w:t>
      </w:r>
      <w:r>
        <w:t xml:space="preserve">：引入外部模型只缓解产品层同质化；模型层思维趋同（共享 RL+CoT 配方）非外部引入可根治——根治靠架构/数据多样性。</w:t>
      </w:r>
    </w:p>
    <w:bookmarkEnd w:id="22"/>
    <w:bookmarkStart w:id="23" w:name="四考试院线索核查证伪登记"/>
    <w:p>
      <w:pPr>
        <w:pStyle w:val="Heading2"/>
      </w:pPr>
      <w:r>
        <w:t xml:space="preserve">四、「考试院」线索核查（证伪登记）</w:t>
      </w:r>
    </w:p>
    <w:p>
      <w:pPr>
        <w:pStyle w:val="FirstParagraph"/>
      </w:pPr>
      <w:r>
        <w:t xml:space="preserve">「强制裁判进考试院」</w:t>
      </w:r>
      <w:r>
        <w:rPr>
          <w:bCs/>
          <w:b/>
        </w:rPr>
        <w:t xml:space="preserve">查无实据</w:t>
      </w:r>
      <w:r>
        <w:t xml:space="preserve">：0 条公开报道。最近真实案例=深圳龙岗区教育局（2025-06-30）部署开源强制裁判做作文批改/学情分析（非高利害考试）；江苏/北京考试院 AI 命题/赋分验证未公开底座；广东省考试院 2026-05 辟谣 AI 批卷。教育评测真实先行者=科大讯飞、海云天。</w:t>
      </w:r>
      <w:r>
        <w:rPr>
          <w:bCs/>
          <w:b/>
        </w:rPr>
        <w:t xml:space="preserve">教训入制（执法局 §5）：「某机构已先行」类断言一律 L1+unverified 复核。</w:t>
      </w:r>
    </w:p>
    <w:bookmarkEnd w:id="23"/>
    <w:bookmarkStart w:id="24" w:name="五裁决建议待用户拍板"/>
    <w:p>
      <w:pPr>
        <w:pStyle w:val="Heading2"/>
      </w:pPr>
      <w:r>
        <w:t xml:space="preserve">五、裁决建议（待用户拍板）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维持路径甲为主</w:t>
      </w:r>
      <w:r>
        <w:t xml:space="preserve">：华为云 MaaS（GLM/外部模型甲/Kimi/强制裁判矩阵）为建制主力，成本与合规双优；强制裁判经执法局强制入候选集。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路径乙降级为「观察哨」</w:t>
      </w:r>
      <w:r>
        <w:t xml:space="preserve">：OpenAI key 封存待充值+境外环境；Gemini 网页档=异质性观点对照源（用户侧行为）；Claude 封存不动。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灰区容忍操作化</w:t>
      </w:r>
      <w:r>
        <w:t xml:space="preserve">（执法局 §3 已立法）：仅异质性对照用途、登记制、敏感数据零出域、未登记=逃逸。</w:t>
      </w:r>
    </w:p>
    <w:p>
      <w:pPr>
        <w:numPr>
          <w:ilvl w:val="0"/>
          <w:numId w:val="1003"/>
        </w:numPr>
        <w:pStyle w:val="Compact"/>
      </w:pPr>
      <w:r>
        <w:t xml:space="preserve">若用户决意充值 OpenAI：建议额度 ≤$10 试单，用途限定公开信息对照，按《用量全局指标规程》录七元组（美元刊例补丁随首单实装）。</w:t>
      </w:r>
    </w:p>
    <w:p>
      <w:pPr>
        <w:pStyle w:val="FirstParagraph"/>
      </w:pPr>
      <w:r>
        <w:rPr>
          <w:bCs/>
          <w:b/>
        </w:rPr>
        <w:t xml:space="preserve">合规四件</w:t>
      </w:r>
      <w:r>
        <w:t xml:space="preserve">：本报告为技术分析，不构成投资建议；数据来源已标注；敏感信息已脱敏（key 仅存指纹）；禁止外发。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2026-08-31T22:08:41Z</dcterms:created>
  <dcterms:modified xsi:type="dcterms:W3CDTF">2026-08-31T22:08:41Z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